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9CE4" w14:textId="77777777" w:rsidR="00BB0869" w:rsidRPr="00673116" w:rsidRDefault="00BB0869">
      <w:pPr>
        <w:jc w:val="center"/>
        <w:rPr>
          <w:b/>
          <w:bCs/>
          <w:i/>
          <w:smallCaps/>
          <w:u w:val="single"/>
        </w:rPr>
      </w:pPr>
      <w:r w:rsidRPr="00673116">
        <w:rPr>
          <w:b/>
          <w:bCs/>
          <w:i/>
          <w:smallCaps/>
          <w:u w:val="single"/>
        </w:rPr>
        <w:t xml:space="preserve">COLLOQUE CNB </w:t>
      </w:r>
    </w:p>
    <w:p w14:paraId="7B19C988" w14:textId="77777777" w:rsidR="00BB0869" w:rsidRPr="00673116" w:rsidRDefault="00BB0869">
      <w:pPr>
        <w:jc w:val="center"/>
        <w:rPr>
          <w:b/>
          <w:bCs/>
          <w:i/>
          <w:smallCaps/>
          <w:u w:val="single"/>
        </w:rPr>
      </w:pPr>
      <w:r w:rsidRPr="00673116">
        <w:rPr>
          <w:b/>
          <w:bCs/>
          <w:i/>
          <w:smallCaps/>
          <w:u w:val="single"/>
        </w:rPr>
        <w:t>20 et 21 avril 2023</w:t>
      </w:r>
    </w:p>
    <w:p w14:paraId="00000001" w14:textId="7CCF8EBA" w:rsidR="001F1AFB" w:rsidRPr="00673116" w:rsidRDefault="00BB0869">
      <w:pPr>
        <w:jc w:val="center"/>
        <w:rPr>
          <w:b/>
          <w:bCs/>
          <w:i/>
          <w:smallCaps/>
          <w:u w:val="single"/>
        </w:rPr>
      </w:pPr>
      <w:r w:rsidRPr="00673116">
        <w:rPr>
          <w:b/>
          <w:bCs/>
          <w:i/>
          <w:smallCaps/>
          <w:u w:val="single"/>
        </w:rPr>
        <w:t xml:space="preserve">Avocat et </w:t>
      </w:r>
      <w:r w:rsidR="005D12DD" w:rsidRPr="00673116">
        <w:rPr>
          <w:b/>
          <w:bCs/>
          <w:i/>
          <w:smallCaps/>
          <w:u w:val="single"/>
        </w:rPr>
        <w:t>droits de la défense dans les enquêtes internes et la justice négociée</w:t>
      </w:r>
    </w:p>
    <w:p w14:paraId="00000002" w14:textId="77777777" w:rsidR="001F1AFB" w:rsidRDefault="001F1AFB"/>
    <w:p w14:paraId="4122323B" w14:textId="77777777" w:rsidR="00EA1D35" w:rsidRDefault="00BB0869" w:rsidP="00BB0869">
      <w:pPr>
        <w:jc w:val="center"/>
        <w:rPr>
          <w:u w:val="single"/>
        </w:rPr>
      </w:pPr>
      <w:r w:rsidRPr="00B668F2">
        <w:rPr>
          <w:u w:val="single"/>
        </w:rPr>
        <w:t xml:space="preserve">Bibliographie </w:t>
      </w:r>
    </w:p>
    <w:p w14:paraId="475EE3C3" w14:textId="4002A935" w:rsidR="00BB0869" w:rsidRPr="00B668F2" w:rsidRDefault="00647641" w:rsidP="00BB0869">
      <w:pPr>
        <w:jc w:val="center"/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non</w:t>
      </w:r>
      <w:proofErr w:type="gramEnd"/>
      <w:r>
        <w:rPr>
          <w:u w:val="single"/>
        </w:rPr>
        <w:t xml:space="preserve"> exhaustive)</w:t>
      </w:r>
    </w:p>
    <w:p w14:paraId="298EE8B0" w14:textId="77777777" w:rsidR="00BB0869" w:rsidRPr="00B668F2" w:rsidRDefault="00BB0869"/>
    <w:p w14:paraId="00000003" w14:textId="18BB3101" w:rsidR="001F1AFB" w:rsidRDefault="00000000" w:rsidP="004B03D3">
      <w:pPr>
        <w:jc w:val="both"/>
        <w:rPr>
          <w:b/>
          <w:color w:val="980000"/>
          <w:u w:val="single"/>
        </w:rPr>
      </w:pPr>
      <w:r w:rsidRPr="00B668F2">
        <w:rPr>
          <w:b/>
          <w:color w:val="980000"/>
          <w:u w:val="single"/>
        </w:rPr>
        <w:t xml:space="preserve">Ouvrages : </w:t>
      </w:r>
    </w:p>
    <w:p w14:paraId="55B90EDC" w14:textId="77777777" w:rsidR="00673116" w:rsidRPr="00B668F2" w:rsidRDefault="00673116" w:rsidP="004B03D3">
      <w:pPr>
        <w:jc w:val="both"/>
        <w:rPr>
          <w:b/>
          <w:color w:val="980000"/>
          <w:u w:val="single"/>
        </w:rPr>
      </w:pPr>
    </w:p>
    <w:p w14:paraId="44CB0677" w14:textId="61304C8F" w:rsidR="002B018C" w:rsidRDefault="002B018C" w:rsidP="002B018C">
      <w:pPr>
        <w:numPr>
          <w:ilvl w:val="0"/>
          <w:numId w:val="1"/>
        </w:numPr>
        <w:jc w:val="both"/>
      </w:pPr>
      <w:proofErr w:type="spellStart"/>
      <w:r w:rsidRPr="00B668F2">
        <w:t>Borga</w:t>
      </w:r>
      <w:proofErr w:type="spellEnd"/>
      <w:r w:rsidRPr="00B668F2">
        <w:t>, N., Marin, J.-Cl., Roda, J.-Ch.</w:t>
      </w:r>
      <w:r w:rsidR="006910C0" w:rsidRPr="00B668F2">
        <w:t xml:space="preserve"> (</w:t>
      </w:r>
      <w:proofErr w:type="spellStart"/>
      <w:r w:rsidR="006910C0" w:rsidRPr="00B668F2">
        <w:t>dir</w:t>
      </w:r>
      <w:proofErr w:type="spellEnd"/>
      <w:r w:rsidR="006910C0" w:rsidRPr="00B668F2">
        <w:t>.)</w:t>
      </w:r>
      <w:r w:rsidRPr="00B668F2">
        <w:t xml:space="preserve">, </w:t>
      </w:r>
      <w:hyperlink r:id="rId7">
        <w:r w:rsidRPr="00B668F2">
          <w:rPr>
            <w:i/>
            <w:color w:val="1155CC"/>
            <w:u w:val="single"/>
          </w:rPr>
          <w:t>Compliance : l’entreprise, le régulateur et le juge</w:t>
        </w:r>
      </w:hyperlink>
      <w:r w:rsidRPr="00B668F2">
        <w:t xml:space="preserve">, </w:t>
      </w:r>
      <w:proofErr w:type="spellStart"/>
      <w:r w:rsidRPr="00B668F2">
        <w:t>JoRC</w:t>
      </w:r>
      <w:proofErr w:type="spellEnd"/>
      <w:r w:rsidRPr="00B668F2">
        <w:t xml:space="preserve"> et Dalloz, 2018</w:t>
      </w:r>
    </w:p>
    <w:p w14:paraId="14F5E717" w14:textId="77777777" w:rsidR="00963874" w:rsidRPr="00B668F2" w:rsidRDefault="00963874" w:rsidP="00963874">
      <w:pPr>
        <w:ind w:left="720"/>
        <w:jc w:val="both"/>
      </w:pPr>
    </w:p>
    <w:p w14:paraId="3BC3DC3F" w14:textId="2DE0BBAA" w:rsidR="002B018C" w:rsidRDefault="002B018C" w:rsidP="002B018C">
      <w:pPr>
        <w:numPr>
          <w:ilvl w:val="0"/>
          <w:numId w:val="1"/>
        </w:numPr>
        <w:jc w:val="both"/>
      </w:pPr>
      <w:r w:rsidRPr="00B668F2">
        <w:t>Feugères, W.</w:t>
      </w:r>
      <w:r w:rsidR="006910C0" w:rsidRPr="00B668F2">
        <w:t xml:space="preserve"> (</w:t>
      </w:r>
      <w:proofErr w:type="spellStart"/>
      <w:r w:rsidR="006910C0" w:rsidRPr="00B668F2">
        <w:t>dir</w:t>
      </w:r>
      <w:proofErr w:type="spellEnd"/>
      <w:r w:rsidR="006910C0" w:rsidRPr="00B668F2">
        <w:t>.)</w:t>
      </w:r>
      <w:r w:rsidRPr="00B668F2">
        <w:t xml:space="preserve">, </w:t>
      </w:r>
      <w:hyperlink r:id="rId8">
        <w:r w:rsidRPr="00B668F2">
          <w:rPr>
            <w:i/>
            <w:color w:val="1155CC"/>
            <w:u w:val="single"/>
          </w:rPr>
          <w:t>Compliance : nouveau paradigme pour l’avocat</w:t>
        </w:r>
      </w:hyperlink>
      <w:r w:rsidRPr="00B668F2">
        <w:t>, Dalloz, 2020</w:t>
      </w:r>
    </w:p>
    <w:p w14:paraId="218C4778" w14:textId="77777777" w:rsidR="00963874" w:rsidRPr="00B668F2" w:rsidRDefault="00963874" w:rsidP="00963874">
      <w:pPr>
        <w:jc w:val="both"/>
      </w:pPr>
    </w:p>
    <w:p w14:paraId="18A75CD7" w14:textId="77777777" w:rsidR="006910C0" w:rsidRPr="00B668F2" w:rsidRDefault="00000000" w:rsidP="002B018C">
      <w:pPr>
        <w:numPr>
          <w:ilvl w:val="0"/>
          <w:numId w:val="1"/>
        </w:numPr>
        <w:jc w:val="both"/>
      </w:pPr>
      <w:r w:rsidRPr="00B668F2">
        <w:t>Frison-Roche, M.-A. (</w:t>
      </w:r>
      <w:proofErr w:type="spellStart"/>
      <w:r w:rsidRPr="00B668F2">
        <w:t>dir</w:t>
      </w:r>
      <w:proofErr w:type="spellEnd"/>
      <w:r w:rsidRPr="00B668F2">
        <w:t>.),</w:t>
      </w:r>
      <w:r w:rsidR="006910C0" w:rsidRPr="00B668F2">
        <w:t> :</w:t>
      </w:r>
    </w:p>
    <w:p w14:paraId="00000004" w14:textId="67A16118" w:rsidR="001F1AFB" w:rsidRPr="00B668F2" w:rsidRDefault="00000000" w:rsidP="006910C0">
      <w:pPr>
        <w:numPr>
          <w:ilvl w:val="1"/>
          <w:numId w:val="1"/>
        </w:numPr>
        <w:jc w:val="both"/>
      </w:pPr>
      <w:hyperlink r:id="rId9">
        <w:r w:rsidRPr="00B668F2">
          <w:rPr>
            <w:i/>
            <w:color w:val="1155CC"/>
            <w:u w:val="single"/>
          </w:rPr>
          <w:t>La juridictionnalisation de la Compliance</w:t>
        </w:r>
      </w:hyperlink>
      <w:r w:rsidRPr="00B668F2">
        <w:t xml:space="preserve">, </w:t>
      </w:r>
      <w:proofErr w:type="spellStart"/>
      <w:r w:rsidRPr="00B668F2">
        <w:t>JoRC</w:t>
      </w:r>
      <w:proofErr w:type="spellEnd"/>
      <w:r w:rsidRPr="00B668F2">
        <w:t xml:space="preserve"> et Dalloz, 2023.</w:t>
      </w:r>
    </w:p>
    <w:p w14:paraId="00000005" w14:textId="504B9174" w:rsidR="001F1AFB" w:rsidRPr="00B668F2" w:rsidRDefault="00000000" w:rsidP="006910C0">
      <w:pPr>
        <w:numPr>
          <w:ilvl w:val="1"/>
          <w:numId w:val="1"/>
        </w:numPr>
        <w:jc w:val="both"/>
      </w:pPr>
      <w:hyperlink r:id="rId10">
        <w:r w:rsidRPr="00B668F2">
          <w:rPr>
            <w:i/>
            <w:color w:val="1155CC"/>
            <w:u w:val="single"/>
          </w:rPr>
          <w:t>Les Buts monumentaux de la Compliance</w:t>
        </w:r>
      </w:hyperlink>
      <w:r w:rsidRPr="00B668F2">
        <w:t xml:space="preserve">, </w:t>
      </w:r>
      <w:proofErr w:type="spellStart"/>
      <w:r w:rsidRPr="00B668F2">
        <w:t>JoRC</w:t>
      </w:r>
      <w:proofErr w:type="spellEnd"/>
      <w:r w:rsidRPr="00B668F2">
        <w:t xml:space="preserve"> et Dalloz, 2022.</w:t>
      </w:r>
    </w:p>
    <w:p w14:paraId="1673C4D3" w14:textId="5DCBBFBF" w:rsidR="009A749D" w:rsidRDefault="00000000" w:rsidP="006910C0">
      <w:pPr>
        <w:numPr>
          <w:ilvl w:val="1"/>
          <w:numId w:val="1"/>
        </w:numPr>
        <w:jc w:val="both"/>
      </w:pPr>
      <w:hyperlink r:id="rId11">
        <w:r w:rsidRPr="00B668F2">
          <w:rPr>
            <w:i/>
            <w:color w:val="1155CC"/>
            <w:u w:val="single"/>
          </w:rPr>
          <w:t>Les outils de la Compliance</w:t>
        </w:r>
      </w:hyperlink>
      <w:r w:rsidRPr="00B668F2">
        <w:t xml:space="preserve">, </w:t>
      </w:r>
      <w:proofErr w:type="spellStart"/>
      <w:r w:rsidRPr="00B668F2">
        <w:t>JoRC</w:t>
      </w:r>
      <w:proofErr w:type="spellEnd"/>
      <w:r w:rsidRPr="00B668F2">
        <w:t xml:space="preserve"> et Dalloz, 2021.</w:t>
      </w:r>
    </w:p>
    <w:p w14:paraId="6480B023" w14:textId="77777777" w:rsidR="00BB0869" w:rsidRDefault="00BB0869" w:rsidP="00BB0869">
      <w:pPr>
        <w:ind w:left="720"/>
        <w:jc w:val="both"/>
      </w:pPr>
    </w:p>
    <w:p w14:paraId="48EABBB6" w14:textId="1C71CE3B" w:rsidR="001649F6" w:rsidRPr="001649F6" w:rsidRDefault="001649F6" w:rsidP="00327CEB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1649F6">
        <w:rPr>
          <w:rFonts w:ascii="Times New Roman" w:eastAsia="Times New Roman" w:hAnsi="Times New Roman" w:cs="Times New Roman"/>
          <w:sz w:val="24"/>
          <w:szCs w:val="24"/>
          <w:lang w:val="fr-FR"/>
        </w:rPr>
        <w:t>Garapon</w:t>
      </w:r>
      <w:proofErr w:type="spellEnd"/>
      <w:r w:rsidRPr="001649F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A., Servan-Schreiber, P., Deals de justice, le marché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américain de l’obéissance mondialisée, PUF, 2013</w:t>
      </w:r>
    </w:p>
    <w:p w14:paraId="6C5B3427" w14:textId="77777777" w:rsidR="001649F6" w:rsidRPr="001649F6" w:rsidRDefault="001649F6" w:rsidP="001649F6">
      <w:pPr>
        <w:pStyle w:val="Paragraphedeliste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0DEB7F7" w14:textId="7A4BCC54" w:rsidR="00BB0869" w:rsidRPr="00327CEB" w:rsidRDefault="00BB0869" w:rsidP="00327CEB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Saint-Pierre, F</w:t>
      </w:r>
      <w:r w:rsidR="001248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647641" w:rsidRPr="00327CEB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</w:rPr>
          <w:t>Pratique de défense pénale</w:t>
        </w:r>
      </w:hyperlink>
      <w:r w:rsidR="00647641">
        <w:rPr>
          <w:rFonts w:ascii="Times New Roman" w:eastAsia="Times New Roman" w:hAnsi="Times New Roman" w:cs="Times New Roman"/>
          <w:sz w:val="24"/>
          <w:szCs w:val="24"/>
        </w:rPr>
        <w:t>, LGDJ,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5D70E6" w14:textId="77777777" w:rsidR="009A749D" w:rsidRDefault="009A749D" w:rsidP="006910C0">
      <w:pPr>
        <w:jc w:val="both"/>
      </w:pPr>
    </w:p>
    <w:p w14:paraId="2A0455B8" w14:textId="12395DFC" w:rsidR="00BB0869" w:rsidRPr="00802139" w:rsidRDefault="00BB0869" w:rsidP="006910C0">
      <w:pPr>
        <w:jc w:val="both"/>
        <w:rPr>
          <w:b/>
          <w:bCs/>
          <w:color w:val="943634" w:themeColor="accent2" w:themeShade="BF"/>
          <w:u w:val="single"/>
        </w:rPr>
      </w:pPr>
      <w:r w:rsidRPr="00802139">
        <w:rPr>
          <w:b/>
          <w:bCs/>
          <w:color w:val="943634" w:themeColor="accent2" w:themeShade="BF"/>
          <w:u w:val="single"/>
        </w:rPr>
        <w:t>Thèses</w:t>
      </w:r>
      <w:r w:rsidR="00647641" w:rsidRPr="00802139">
        <w:rPr>
          <w:b/>
          <w:bCs/>
          <w:color w:val="943634" w:themeColor="accent2" w:themeShade="BF"/>
          <w:u w:val="single"/>
        </w:rPr>
        <w:t> :</w:t>
      </w:r>
      <w:r w:rsidRPr="00802139">
        <w:rPr>
          <w:b/>
          <w:bCs/>
          <w:color w:val="943634" w:themeColor="accent2" w:themeShade="BF"/>
          <w:u w:val="single"/>
        </w:rPr>
        <w:t xml:space="preserve"> </w:t>
      </w:r>
    </w:p>
    <w:p w14:paraId="43E8A43E" w14:textId="77777777" w:rsidR="00BB0869" w:rsidRDefault="00BB0869" w:rsidP="006910C0">
      <w:pPr>
        <w:jc w:val="both"/>
      </w:pPr>
    </w:p>
    <w:p w14:paraId="6623C90C" w14:textId="649878AE" w:rsidR="00BB0869" w:rsidRPr="00756EAA" w:rsidRDefault="00BB0869" w:rsidP="00BB086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EAA">
        <w:rPr>
          <w:rFonts w:ascii="Times New Roman" w:eastAsia="Times New Roman" w:hAnsi="Times New Roman" w:cs="Times New Roman"/>
          <w:sz w:val="24"/>
          <w:szCs w:val="24"/>
        </w:rPr>
        <w:t>Bavitot</w:t>
      </w:r>
      <w:proofErr w:type="spellEnd"/>
      <w:r w:rsidR="00647641" w:rsidRPr="00756EAA">
        <w:rPr>
          <w:rFonts w:ascii="Times New Roman" w:eastAsia="Times New Roman" w:hAnsi="Times New Roman" w:cs="Times New Roman"/>
          <w:sz w:val="24"/>
          <w:szCs w:val="24"/>
        </w:rPr>
        <w:t>, A.</w:t>
      </w:r>
      <w:r w:rsidRPr="00756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7641" w:rsidRPr="00756EAA">
        <w:rPr>
          <w:rFonts w:ascii="Times New Roman" w:eastAsia="Times New Roman" w:hAnsi="Times New Roman" w:cs="Times New Roman"/>
          <w:sz w:val="24"/>
          <w:szCs w:val="24"/>
        </w:rPr>
        <w:t>La probité publique en droit pénal, PUAM, 2019</w:t>
      </w:r>
    </w:p>
    <w:p w14:paraId="577EB508" w14:textId="410E8C29" w:rsidR="00BB0869" w:rsidRPr="00756EAA" w:rsidRDefault="00BB0869" w:rsidP="00BB086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EAA">
        <w:rPr>
          <w:rFonts w:ascii="Times New Roman" w:eastAsia="Times New Roman" w:hAnsi="Times New Roman" w:cs="Times New Roman"/>
          <w:sz w:val="24"/>
          <w:szCs w:val="24"/>
        </w:rPr>
        <w:t>Cabon</w:t>
      </w:r>
      <w:proofErr w:type="spellEnd"/>
      <w:r w:rsidRPr="00756EAA">
        <w:rPr>
          <w:rFonts w:ascii="Times New Roman" w:eastAsia="Times New Roman" w:hAnsi="Times New Roman" w:cs="Times New Roman"/>
          <w:sz w:val="24"/>
          <w:szCs w:val="24"/>
        </w:rPr>
        <w:t>, S.-M., La négociation en matière pénale, LGDJ, 2016</w:t>
      </w:r>
    </w:p>
    <w:p w14:paraId="27F5F395" w14:textId="2979369A" w:rsidR="00BB0869" w:rsidRPr="00756EAA" w:rsidRDefault="00BB0869" w:rsidP="00BB086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EAA">
        <w:rPr>
          <w:rFonts w:ascii="Times New Roman" w:eastAsia="Times New Roman" w:hAnsi="Times New Roman" w:cs="Times New Roman"/>
          <w:sz w:val="24"/>
          <w:szCs w:val="24"/>
        </w:rPr>
        <w:t>Fiorini</w:t>
      </w:r>
      <w:proofErr w:type="spellEnd"/>
      <w:r w:rsidRPr="00756EAA">
        <w:rPr>
          <w:rFonts w:ascii="Times New Roman" w:eastAsia="Times New Roman" w:hAnsi="Times New Roman" w:cs="Times New Roman"/>
          <w:sz w:val="24"/>
          <w:szCs w:val="24"/>
        </w:rPr>
        <w:t>, B., L’enquête pénale privée : étude comparée des droits français et droit américain, Fondation Varenne, 2018</w:t>
      </w:r>
    </w:p>
    <w:p w14:paraId="04FAB4C4" w14:textId="4828E1DB" w:rsidR="00647641" w:rsidRPr="00756EAA" w:rsidRDefault="00647641" w:rsidP="00BB086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EAA">
        <w:rPr>
          <w:rFonts w:ascii="Times New Roman" w:eastAsia="Times New Roman" w:hAnsi="Times New Roman" w:cs="Times New Roman"/>
          <w:sz w:val="24"/>
          <w:szCs w:val="24"/>
        </w:rPr>
        <w:t>Goujon-</w:t>
      </w:r>
      <w:proofErr w:type="spellStart"/>
      <w:r w:rsidRPr="00756EAA">
        <w:rPr>
          <w:rFonts w:ascii="Times New Roman" w:eastAsia="Times New Roman" w:hAnsi="Times New Roman" w:cs="Times New Roman"/>
          <w:sz w:val="24"/>
          <w:szCs w:val="24"/>
        </w:rPr>
        <w:t>Bethan</w:t>
      </w:r>
      <w:proofErr w:type="spellEnd"/>
      <w:r w:rsidRPr="00756EAA">
        <w:rPr>
          <w:rFonts w:ascii="Times New Roman" w:eastAsia="Times New Roman" w:hAnsi="Times New Roman" w:cs="Times New Roman"/>
          <w:sz w:val="24"/>
          <w:szCs w:val="24"/>
        </w:rPr>
        <w:t>, Th., L’homologation par le juge. Essai sur une fonction juridictionnelle, LGDJ, 2021</w:t>
      </w:r>
    </w:p>
    <w:p w14:paraId="1888FB2C" w14:textId="21957D04" w:rsidR="00BB0869" w:rsidRPr="00756EAA" w:rsidRDefault="00BB0869" w:rsidP="00327CEB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EAA">
        <w:rPr>
          <w:rFonts w:ascii="Times New Roman" w:eastAsia="Times New Roman" w:hAnsi="Times New Roman" w:cs="Times New Roman"/>
          <w:sz w:val="24"/>
          <w:szCs w:val="24"/>
        </w:rPr>
        <w:t>Perrier, J.-B., La transaction</w:t>
      </w:r>
      <w:r w:rsidR="00647641" w:rsidRPr="00756EAA">
        <w:rPr>
          <w:rFonts w:ascii="Times New Roman" w:eastAsia="Times New Roman" w:hAnsi="Times New Roman" w:cs="Times New Roman"/>
          <w:sz w:val="24"/>
          <w:szCs w:val="24"/>
        </w:rPr>
        <w:t xml:space="preserve"> en matière</w:t>
      </w:r>
      <w:r w:rsidRPr="00756EAA">
        <w:rPr>
          <w:rFonts w:ascii="Times New Roman" w:eastAsia="Times New Roman" w:hAnsi="Times New Roman" w:cs="Times New Roman"/>
          <w:sz w:val="24"/>
          <w:szCs w:val="24"/>
        </w:rPr>
        <w:t xml:space="preserve"> pénale, LGDJ, 201</w:t>
      </w:r>
      <w:r w:rsidR="00647641" w:rsidRPr="00756EAA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9AB60C6" w14:textId="77777777" w:rsidR="00BB0869" w:rsidRDefault="00BB0869" w:rsidP="006910C0">
      <w:pPr>
        <w:jc w:val="both"/>
      </w:pPr>
    </w:p>
    <w:p w14:paraId="5C9E6742" w14:textId="77777777" w:rsidR="00A04D18" w:rsidRPr="00A23FF3" w:rsidRDefault="00A04D18" w:rsidP="00A04D18">
      <w:pPr>
        <w:jc w:val="both"/>
        <w:rPr>
          <w:b/>
          <w:bCs/>
          <w:color w:val="943634" w:themeColor="accent2" w:themeShade="BF"/>
          <w:u w:val="single"/>
        </w:rPr>
      </w:pPr>
      <w:r w:rsidRPr="00A23FF3">
        <w:rPr>
          <w:b/>
          <w:bCs/>
          <w:color w:val="943634" w:themeColor="accent2" w:themeShade="BF"/>
          <w:u w:val="single"/>
        </w:rPr>
        <w:t xml:space="preserve">Guides, rapports et revues : </w:t>
      </w:r>
    </w:p>
    <w:p w14:paraId="43EC3F5E" w14:textId="77777777" w:rsidR="00A04D18" w:rsidRDefault="00A04D18" w:rsidP="00A04D18">
      <w:pPr>
        <w:jc w:val="both"/>
      </w:pPr>
    </w:p>
    <w:p w14:paraId="5947E4AB" w14:textId="77777777" w:rsidR="00A04D18" w:rsidRPr="00673116" w:rsidRDefault="00A04D18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Guide du Conseil National des Barreaux </w:t>
      </w:r>
      <w:hyperlink r:id="rId13" w:history="1">
        <w:r w:rsidRPr="0067311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L’avocat français et des enquêtes internes</w:t>
        </w:r>
      </w:hyperlink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, CNB 2020</w:t>
      </w:r>
    </w:p>
    <w:p w14:paraId="361C6710" w14:textId="77777777" w:rsidR="00A04D18" w:rsidRDefault="00A04D18" w:rsidP="00A04D18">
      <w:pPr>
        <w:jc w:val="both"/>
      </w:pPr>
    </w:p>
    <w:p w14:paraId="7AAA9CB6" w14:textId="77777777" w:rsidR="00A04D18" w:rsidRPr="00673116" w:rsidRDefault="00A04D18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Annexe XXIV : </w:t>
      </w:r>
      <w:hyperlink r:id="rId14" w:history="1">
        <w:r w:rsidRPr="0067311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Vademecum du Barreau de Paris de l’avocat chargé d’une enquête interne</w:t>
        </w:r>
      </w:hyperlink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, 2019</w:t>
      </w:r>
    </w:p>
    <w:p w14:paraId="7E4AF264" w14:textId="77777777" w:rsidR="00A04D18" w:rsidRDefault="00A04D18" w:rsidP="00A04D18">
      <w:pPr>
        <w:jc w:val="both"/>
      </w:pPr>
    </w:p>
    <w:p w14:paraId="1C41E556" w14:textId="77777777" w:rsidR="00A04D18" w:rsidRDefault="00000000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hyperlink r:id="rId15" w:history="1">
        <w:r w:rsidR="00A04D18" w:rsidRPr="0080059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Guide pratique sur les enquêtes internes anticorruption</w:t>
        </w:r>
      </w:hyperlink>
      <w:r w:rsidR="00A04D18">
        <w:rPr>
          <w:rFonts w:ascii="Times New Roman" w:eastAsia="Times New Roman" w:hAnsi="Times New Roman" w:cs="Times New Roman"/>
          <w:sz w:val="24"/>
          <w:szCs w:val="24"/>
          <w:lang w:val="fr-FR"/>
        </w:rPr>
        <w:t>, AFA / PNF, 14 mars 2023</w:t>
      </w:r>
    </w:p>
    <w:p w14:paraId="2707C339" w14:textId="77777777" w:rsidR="00A04D18" w:rsidRPr="00C2181F" w:rsidRDefault="00A04D18" w:rsidP="00A04D18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FD93746" w14:textId="77777777" w:rsidR="00A04D18" w:rsidRDefault="00000000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hyperlink r:id="rId16" w:history="1">
        <w:r w:rsidR="00A04D18" w:rsidRPr="00C2181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Lignes directrices sur la mise en œuvre de la convention judiciaire d’intérêt public</w:t>
        </w:r>
      </w:hyperlink>
      <w:r w:rsidR="00A04D18">
        <w:rPr>
          <w:rFonts w:ascii="Times New Roman" w:eastAsia="Times New Roman" w:hAnsi="Times New Roman" w:cs="Times New Roman"/>
          <w:sz w:val="24"/>
          <w:szCs w:val="24"/>
          <w:lang w:val="fr-FR"/>
        </w:rPr>
        <w:t>, Parquet National Financier, 16 janvier 2023</w:t>
      </w:r>
    </w:p>
    <w:p w14:paraId="7B2A62E6" w14:textId="77777777" w:rsidR="00A04D18" w:rsidRPr="0080059A" w:rsidRDefault="00A04D18" w:rsidP="00A04D18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421161B" w14:textId="77777777" w:rsidR="00A04D18" w:rsidRPr="00673116" w:rsidRDefault="00A04D18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Actes du 46</w:t>
      </w:r>
      <w:r w:rsidRPr="00673116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colloque de la commission sociale du SAF, «</w:t>
      </w:r>
      <w:hyperlink r:id="rId17" w:history="1">
        <w:r w:rsidRPr="0067311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 </w:t>
        </w:r>
        <w:r w:rsidRPr="00673116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>Les enquêtes en droit du travail</w:t>
        </w:r>
        <w:r w:rsidRPr="0067311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 </w:t>
        </w:r>
      </w:hyperlink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», Le Droit Ouvrier, mars 2022</w:t>
      </w:r>
    </w:p>
    <w:p w14:paraId="2459C9B9" w14:textId="77777777" w:rsidR="00A04D18" w:rsidRDefault="00A04D18" w:rsidP="00A04D18">
      <w:pPr>
        <w:jc w:val="both"/>
      </w:pPr>
    </w:p>
    <w:p w14:paraId="239C95BA" w14:textId="77777777" w:rsidR="00A04D18" w:rsidRPr="00673116" w:rsidRDefault="00000000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hyperlink r:id="rId18" w:history="1">
        <w:r w:rsidR="00A04D18" w:rsidRPr="0067311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La compliance</w:t>
        </w:r>
      </w:hyperlink>
      <w:r w:rsidR="00A04D18"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, revue de l’ACE, septembre 2022, n°157</w:t>
      </w:r>
    </w:p>
    <w:p w14:paraId="4928BA0A" w14:textId="77777777" w:rsidR="00A04D18" w:rsidRDefault="00A04D18" w:rsidP="00A04D18">
      <w:pPr>
        <w:jc w:val="both"/>
      </w:pPr>
    </w:p>
    <w:p w14:paraId="3A75F7B0" w14:textId="77777777" w:rsidR="00A04D18" w:rsidRPr="00673116" w:rsidRDefault="00A04D18" w:rsidP="00A04D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Hever</w:t>
      </w:r>
      <w:proofErr w:type="spellEnd"/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, D. (</w:t>
      </w:r>
      <w:proofErr w:type="spellStart"/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Dir</w:t>
      </w:r>
      <w:proofErr w:type="spellEnd"/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.), Daoud, E., </w:t>
      </w:r>
      <w:proofErr w:type="spellStart"/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Sauphanor</w:t>
      </w:r>
      <w:proofErr w:type="spellEnd"/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S., et autres, </w:t>
      </w:r>
      <w:hyperlink r:id="rId19" w:history="1">
        <w:r w:rsidRPr="00673116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Rapport sur les droits de la défense des personnes physiques dans les enquêtes internes</w:t>
        </w:r>
      </w:hyperlink>
      <w:r w:rsidRPr="00673116">
        <w:rPr>
          <w:rFonts w:ascii="Times New Roman" w:eastAsia="Times New Roman" w:hAnsi="Times New Roman" w:cs="Times New Roman"/>
          <w:sz w:val="24"/>
          <w:szCs w:val="24"/>
          <w:lang w:val="fr-FR"/>
        </w:rPr>
        <w:t>, mars 2021</w:t>
      </w:r>
    </w:p>
    <w:p w14:paraId="34989524" w14:textId="77777777" w:rsidR="00A04D18" w:rsidRDefault="00A04D18" w:rsidP="006910C0">
      <w:pPr>
        <w:jc w:val="both"/>
      </w:pPr>
    </w:p>
    <w:p w14:paraId="7A3EBC8A" w14:textId="77777777" w:rsidR="00F43173" w:rsidRDefault="00F43173" w:rsidP="0093393E">
      <w:pPr>
        <w:jc w:val="both"/>
        <w:rPr>
          <w:b/>
          <w:color w:val="980000"/>
          <w:u w:val="single"/>
        </w:rPr>
      </w:pPr>
    </w:p>
    <w:p w14:paraId="6E0A404A" w14:textId="17A6EF80" w:rsidR="001F61DE" w:rsidRDefault="00000000" w:rsidP="0093393E">
      <w:pPr>
        <w:jc w:val="both"/>
        <w:rPr>
          <w:b/>
          <w:color w:val="980000"/>
          <w:u w:val="single"/>
        </w:rPr>
      </w:pPr>
      <w:r w:rsidRPr="00B668F2">
        <w:rPr>
          <w:b/>
          <w:color w:val="980000"/>
          <w:u w:val="single"/>
        </w:rPr>
        <w:t>Articles</w:t>
      </w:r>
      <w:r w:rsidR="003069C8" w:rsidRPr="00B668F2">
        <w:rPr>
          <w:b/>
          <w:color w:val="980000"/>
          <w:u w:val="single"/>
        </w:rPr>
        <w:t xml:space="preserve"> </w:t>
      </w:r>
      <w:r w:rsidRPr="00B668F2">
        <w:rPr>
          <w:b/>
          <w:color w:val="980000"/>
          <w:u w:val="single"/>
        </w:rPr>
        <w:t xml:space="preserve">: </w:t>
      </w:r>
    </w:p>
    <w:p w14:paraId="7FABFF3F" w14:textId="77777777" w:rsidR="004F2DF7" w:rsidRPr="00B668F2" w:rsidRDefault="004F2DF7" w:rsidP="0093393E">
      <w:pPr>
        <w:jc w:val="both"/>
        <w:rPr>
          <w:rStyle w:val="lev"/>
          <w:bCs w:val="0"/>
          <w:color w:val="980000"/>
          <w:u w:val="single"/>
        </w:rPr>
      </w:pPr>
    </w:p>
    <w:p w14:paraId="283F7AAD" w14:textId="7A84AE38" w:rsidR="00B472C4" w:rsidRDefault="00B472C4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Ader, B., Marcillac A. de, Munoz Pons, V., </w:t>
      </w:r>
      <w:hyperlink r:id="rId20" w:anchor=".ZEVsRuxByuU" w:history="1">
        <w:r w:rsidRPr="00B472C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Un avocat qui participe à une enquête interne reste un avocat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Dalloz Actualité, 4 avril 2023</w:t>
      </w:r>
    </w:p>
    <w:p w14:paraId="6D84A3AA" w14:textId="41DBCC75" w:rsidR="00B472C4" w:rsidRDefault="00B472C4" w:rsidP="00B472C4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</w:p>
    <w:p w14:paraId="248798A8" w14:textId="1024C41F" w:rsidR="0093393E" w:rsidRPr="00B668F2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Amico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Th., </w:t>
      </w:r>
    </w:p>
    <w:p w14:paraId="1EC6CA76" w14:textId="12D0DEAE" w:rsidR="0093393E" w:rsidRPr="00B668F2" w:rsidRDefault="00000000" w:rsidP="0093393E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21" w:history="1"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 xml:space="preserve">La Compliance ou le passage de l'ex post à l'ex </w:t>
        </w:r>
        <w:proofErr w:type="gramStart"/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ante:</w:t>
        </w:r>
        <w:proofErr w:type="gramEnd"/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 xml:space="preserve"> une révision copernicienne pour l'avocat pénaliste ?</w:t>
        </w:r>
      </w:hyperlink>
      <w:r w:rsidR="0093393E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2021</w:t>
      </w:r>
    </w:p>
    <w:p w14:paraId="01661D0D" w14:textId="2D50CC26" w:rsidR="0093393E" w:rsidRDefault="00000000" w:rsidP="0093393E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22" w:history="1"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convention judiciaire d'intérêt public ou la compliance comme moyen de lutte contre la récidive</w:t>
        </w:r>
      </w:hyperlink>
      <w:r w:rsidR="0093393E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</w:t>
      </w:r>
      <w:r w:rsid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r w:rsidR="0093393E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2018</w:t>
      </w:r>
    </w:p>
    <w:p w14:paraId="0BD43B7D" w14:textId="77777777" w:rsidR="008148D0" w:rsidRPr="00EA1D35" w:rsidRDefault="008148D0" w:rsidP="00B668F2">
      <w:pPr>
        <w:pStyle w:val="Paragraphedeliste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3C54EAF4" w14:textId="77777777" w:rsidR="00A73799" w:rsidRDefault="00EA1D35" w:rsidP="00327CEB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Baudesson</w:t>
      </w:r>
      <w:proofErr w:type="spellEnd"/>
      <w:r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Th., </w:t>
      </w:r>
    </w:p>
    <w:p w14:paraId="762E4882" w14:textId="77777777" w:rsidR="00A73799" w:rsidRDefault="00A73799" w:rsidP="00A73799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66CE12A9" w14:textId="20C66570" w:rsidR="00EA1D35" w:rsidRDefault="00000000" w:rsidP="00A73799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23" w:history="1">
        <w:r w:rsidR="00EA1D35" w:rsidRPr="00092F64">
          <w:rPr>
            <w:rStyle w:val="Lienhypertexte"/>
            <w:rFonts w:ascii="Times New Roman" w:hAnsi="Times New Roman" w:cs="Times New Roman"/>
            <w:sz w:val="24"/>
            <w:szCs w:val="24"/>
          </w:rPr>
          <w:t>Le nouvel article 56-1-2 du Code de procédure pénale ou l'introduction discrète en droit français de la crime-</w:t>
        </w:r>
        <w:proofErr w:type="spellStart"/>
        <w:r w:rsidR="00EA1D35" w:rsidRPr="00092F64">
          <w:rPr>
            <w:rStyle w:val="Lienhypertexte"/>
            <w:rFonts w:ascii="Times New Roman" w:hAnsi="Times New Roman" w:cs="Times New Roman"/>
            <w:sz w:val="24"/>
            <w:szCs w:val="24"/>
          </w:rPr>
          <w:t>fraud</w:t>
        </w:r>
        <w:proofErr w:type="spellEnd"/>
        <w:r w:rsidR="00EA1D35" w:rsidRPr="00092F64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 exception américaine, mais sans les garanties qui l'accompagnent</w:t>
        </w:r>
      </w:hyperlink>
      <w:r w:rsidR="00EA1D35" w:rsidRPr="00327C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D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D35"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Dr. Pénal, 2022, n°1, étude 3</w:t>
      </w:r>
    </w:p>
    <w:p w14:paraId="7628FF04" w14:textId="49084E44" w:rsidR="00A73799" w:rsidRPr="00EA1D35" w:rsidRDefault="00000000" w:rsidP="00A73799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24" w:history="1">
        <w:r w:rsidR="00A73799" w:rsidRPr="00A7379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Convention judiciaire d’intérêt public et </w:t>
        </w:r>
        <w:proofErr w:type="spellStart"/>
        <w:r w:rsidR="00A73799" w:rsidRPr="00A7379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Deferred</w:t>
        </w:r>
        <w:proofErr w:type="spellEnd"/>
        <w:r w:rsidR="00A73799" w:rsidRPr="00A7379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 </w:t>
        </w:r>
        <w:proofErr w:type="spellStart"/>
        <w:r w:rsidR="00A73799" w:rsidRPr="00A7379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Prosecution</w:t>
        </w:r>
        <w:proofErr w:type="spellEnd"/>
        <w:r w:rsidR="00A73799" w:rsidRPr="00A7379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 Agreement : regards croisés (France, Royaume-Uni, Etats-Unis),</w:t>
        </w:r>
      </w:hyperlink>
      <w:r w:rsidR="00A7379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Revue internationale de la compliance et de l’éthique des affaires, n°1, février 2021</w:t>
      </w:r>
    </w:p>
    <w:p w14:paraId="38585832" w14:textId="77777777" w:rsidR="00EA1D35" w:rsidRPr="00327CEB" w:rsidRDefault="00EA1D35" w:rsidP="00327CEB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14D6843D" w14:textId="1ADE078E" w:rsidR="0015377C" w:rsidRPr="00B668F2" w:rsidRDefault="0015377C" w:rsidP="0015377C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hAnsi="Times New Roman" w:cs="Times New Roman"/>
          <w:color w:val="555555"/>
          <w:sz w:val="24"/>
          <w:szCs w:val="24"/>
        </w:rPr>
        <w:t>Bavitot</w:t>
      </w:r>
      <w:proofErr w:type="spellEnd"/>
      <w:r w:rsidRPr="00B668F2">
        <w:rPr>
          <w:rFonts w:ascii="Times New Roman" w:hAnsi="Times New Roman" w:cs="Times New Roman"/>
          <w:color w:val="555555"/>
          <w:sz w:val="24"/>
          <w:szCs w:val="24"/>
        </w:rPr>
        <w:t>, A., </w:t>
      </w:r>
      <w:hyperlink r:id="rId25" w:history="1">
        <w:r w:rsidRPr="00B668F2">
          <w:rPr>
            <w:rStyle w:val="Lienhypertexte"/>
            <w:rFonts w:ascii="Times New Roman" w:hAnsi="Times New Roman" w:cs="Times New Roman"/>
            <w:color w:val="660002"/>
            <w:sz w:val="24"/>
            <w:szCs w:val="24"/>
          </w:rPr>
          <w:t>Le façonnage de l'entreprise par les accords de justice pénale négociés</w:t>
        </w:r>
      </w:hyperlink>
      <w:r w:rsidRPr="00B668F2">
        <w:rPr>
          <w:rFonts w:ascii="Times New Roman" w:hAnsi="Times New Roman" w:cs="Times New Roman"/>
          <w:color w:val="555555"/>
          <w:sz w:val="24"/>
          <w:szCs w:val="24"/>
        </w:rPr>
        <w:t>, 2023</w:t>
      </w:r>
    </w:p>
    <w:p w14:paraId="29EF80BB" w14:textId="77777777" w:rsidR="00B668F2" w:rsidRPr="00B668F2" w:rsidRDefault="00B668F2" w:rsidP="00B668F2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3DF9803B" w14:textId="5107E686" w:rsidR="00756EAA" w:rsidRPr="00092F64" w:rsidRDefault="0093393E" w:rsidP="00756EAA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Beaussonie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 </w:t>
      </w:r>
      <w:hyperlink r:id="rId26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G., </w:t>
        </w:r>
      </w:hyperlink>
      <w:hyperlink r:id="rId27" w:history="1">
        <w:r w:rsidRPr="00092F64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Droit pénal et Compliance font-ils système ?</w:t>
        </w:r>
      </w:hyperlink>
      <w:r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2023</w:t>
      </w:r>
    </w:p>
    <w:p w14:paraId="45543D5B" w14:textId="77777777" w:rsidR="00756EAA" w:rsidRPr="00092F64" w:rsidRDefault="00756EAA" w:rsidP="00756EAA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2BC3BF80" w14:textId="77777777" w:rsidR="00756EAA" w:rsidRPr="00092F64" w:rsidRDefault="00756EAA" w:rsidP="00D90288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Boissavy, M., </w:t>
      </w:r>
    </w:p>
    <w:p w14:paraId="61B653E7" w14:textId="5BBB5D10" w:rsidR="00756EAA" w:rsidRPr="00092F64" w:rsidRDefault="00000000" w:rsidP="00756EAA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28" w:history="1">
        <w:r w:rsidR="00756EAA" w:rsidRPr="00092F64">
          <w:rPr>
            <w:rStyle w:val="Lienhypertexte"/>
            <w:rFonts w:ascii="Times New Roman" w:hAnsi="Times New Roman" w:cs="Times New Roman"/>
            <w:sz w:val="24"/>
            <w:szCs w:val="24"/>
          </w:rPr>
          <w:t>Le secret des confidences entre un avocat et son client en matière de conseil et la répression des infractions</w:t>
        </w:r>
      </w:hyperlink>
      <w:r w:rsidR="00756EAA" w:rsidRPr="0009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56EAA" w:rsidRPr="00092F64">
        <w:rPr>
          <w:rFonts w:ascii="Times New Roman" w:hAnsi="Times New Roman" w:cs="Times New Roman"/>
          <w:color w:val="000000" w:themeColor="text1"/>
          <w:sz w:val="24"/>
          <w:szCs w:val="24"/>
        </w:rPr>
        <w:t>Lexbase</w:t>
      </w:r>
      <w:proofErr w:type="spellEnd"/>
      <w:r w:rsidR="00756EAA" w:rsidRPr="0009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Avocats, lettre juridique n°881 du 14 octobre 2021</w:t>
      </w:r>
    </w:p>
    <w:p w14:paraId="189DDA69" w14:textId="638C910C" w:rsidR="00756EAA" w:rsidRPr="00092F64" w:rsidRDefault="00000000" w:rsidP="00756EAA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29" w:history="1">
        <w:r w:rsidR="00756EAA" w:rsidRPr="00092F64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Loi pour la confiance dans l’institution judiciaire, les dispositions sur le secret professionnel de l’avocat sont-elles contraires aux dispositions à la Convention européenne des droits de </w:t>
        </w:r>
        <w:proofErr w:type="gramStart"/>
        <w:r w:rsidR="00756EAA" w:rsidRPr="00092F64">
          <w:rPr>
            <w:rStyle w:val="Lienhypertexte"/>
            <w:rFonts w:ascii="Times New Roman" w:hAnsi="Times New Roman" w:cs="Times New Roman"/>
            <w:sz w:val="24"/>
            <w:szCs w:val="24"/>
          </w:rPr>
          <w:t>l’Homme ?,</w:t>
        </w:r>
        <w:proofErr w:type="gramEnd"/>
      </w:hyperlink>
      <w:r w:rsidR="00756EAA" w:rsidRPr="0009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Gazette du Palais, 14 décembre 2021, p. 24.</w:t>
      </w:r>
    </w:p>
    <w:p w14:paraId="50DD86C0" w14:textId="77777777" w:rsidR="00756EAA" w:rsidRDefault="00756EAA" w:rsidP="00756EAA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765F323D" w14:textId="14C856D3" w:rsidR="0080059A" w:rsidRDefault="0080059A" w:rsidP="0080059A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Boissavy, M., </w:t>
      </w: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Frison-Roche, M.A., </w:t>
      </w:r>
    </w:p>
    <w:p w14:paraId="1DA4A71F" w14:textId="1E8E96ED" w:rsidR="00C86190" w:rsidRDefault="00000000" w:rsidP="00C86190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30" w:history="1">
        <w:r w:rsidR="00C86190" w:rsidRPr="000979D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Enquêtes internes : une activité en plein développement pour les avocats – </w:t>
        </w:r>
        <w:r w:rsidR="0080059A" w:rsidRPr="000979D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Entretien</w:t>
        </w:r>
        <w:r w:rsidR="00C86190" w:rsidRPr="000979D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 avec </w:t>
        </w:r>
        <w:proofErr w:type="spellStart"/>
        <w:r w:rsidR="00C86190" w:rsidRPr="000979D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Miren</w:t>
        </w:r>
        <w:proofErr w:type="spellEnd"/>
        <w:r w:rsidR="00C86190" w:rsidRPr="000979D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 Lartigue</w:t>
        </w:r>
        <w:r w:rsidR="0080059A" w:rsidRPr="000979D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 à la Gazette du Palais du 25 avril 2023</w:t>
        </w:r>
      </w:hyperlink>
    </w:p>
    <w:p w14:paraId="3E5D6331" w14:textId="1C321F32" w:rsidR="0080059A" w:rsidRDefault="00000000" w:rsidP="00C86190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31" w:history="1">
        <w:r w:rsidR="00C86190" w:rsidRPr="00C8619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Entretien avec Olivia Dufour</w:t>
        </w:r>
      </w:hyperlink>
      <w:r w:rsidR="00C86190" w:rsidRP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– Actu-Juridique, </w:t>
      </w:r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3 avril 2023</w:t>
      </w:r>
    </w:p>
    <w:p w14:paraId="19DDAF57" w14:textId="09DB7F43" w:rsidR="00C86190" w:rsidRPr="00C86190" w:rsidRDefault="00000000" w:rsidP="00C86190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32" w:history="1">
        <w:r w:rsidR="00C86190" w:rsidRPr="00C8619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Entretien avec Marina </w:t>
        </w:r>
        <w:proofErr w:type="spellStart"/>
        <w:r w:rsidR="00C86190" w:rsidRPr="00C8619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Brillie</w:t>
        </w:r>
        <w:proofErr w:type="spellEnd"/>
      </w:hyperlink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Dalloz </w:t>
      </w:r>
      <w:proofErr w:type="spellStart"/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Etudiant</w:t>
      </w:r>
      <w:proofErr w:type="spellEnd"/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6 avril 2023</w:t>
      </w:r>
    </w:p>
    <w:p w14:paraId="3498AADE" w14:textId="77777777" w:rsidR="0080059A" w:rsidRPr="00092F64" w:rsidRDefault="0080059A" w:rsidP="00756EAA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299F2AA6" w14:textId="65C26655" w:rsidR="00D90288" w:rsidRPr="00092F64" w:rsidRDefault="00D90288" w:rsidP="00D90288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Boyer, C., Daoud, E.</w:t>
      </w:r>
      <w:r w:rsidR="00D27517"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</w:t>
      </w:r>
      <w:r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hyperlink r:id="rId33" w:history="1">
        <w:r w:rsidRPr="00092F6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L’avocat chargé d’une enquête interne, enjeux déontologiques</w:t>
        </w:r>
      </w:hyperlink>
      <w:r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AJ Pénal, 2017</w:t>
      </w:r>
    </w:p>
    <w:p w14:paraId="63C1B0F4" w14:textId="2B16A95A" w:rsidR="00A61F9C" w:rsidRPr="00092F64" w:rsidRDefault="00A61F9C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lastRenderedPageBreak/>
        <w:t xml:space="preserve">Breen, E., La compliance, une privatisation de la régulation ? </w:t>
      </w:r>
      <w:r w:rsidR="00EA1D35" w:rsidRPr="00092F6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RSCDPC, 2019, n°2, p. 327</w:t>
      </w:r>
    </w:p>
    <w:p w14:paraId="08B8CCFB" w14:textId="77777777" w:rsidR="00EA1D35" w:rsidRPr="00092F64" w:rsidRDefault="00EA1D35" w:rsidP="00327CEB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02AAEB4D" w14:textId="3DC90496" w:rsidR="0093393E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Bruno, A.,  </w:t>
      </w:r>
      <w:hyperlink r:id="rId34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façon dont les entreprises du secteur bancaire s'organisent et se comportent pour assumer leur rôle de "procureurs et juges d'elles-mêmes</w:t>
        </w:r>
      </w:hyperlink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</w:t>
      </w:r>
      <w:r w:rsidR="00541A46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3</w:t>
      </w:r>
    </w:p>
    <w:p w14:paraId="453A7DF9" w14:textId="77777777" w:rsidR="00B668F2" w:rsidRDefault="00B668F2" w:rsidP="00B668F2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0DBB1350" w14:textId="17EBE07F" w:rsidR="00C86190" w:rsidRPr="000979D7" w:rsidRDefault="00C86190" w:rsidP="00C86190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756EAA">
        <w:rPr>
          <w:rFonts w:ascii="Times New Roman" w:eastAsia="Times New Roman" w:hAnsi="Times New Roman" w:cs="Times New Roman"/>
          <w:sz w:val="24"/>
          <w:szCs w:val="24"/>
        </w:rPr>
        <w:t>Cabon</w:t>
      </w:r>
      <w:proofErr w:type="spellEnd"/>
      <w:r w:rsidRPr="00756EAA">
        <w:rPr>
          <w:rFonts w:ascii="Times New Roman" w:eastAsia="Times New Roman" w:hAnsi="Times New Roman" w:cs="Times New Roman"/>
          <w:sz w:val="24"/>
          <w:szCs w:val="24"/>
        </w:rPr>
        <w:t>, S.-M.,</w:t>
      </w:r>
    </w:p>
    <w:p w14:paraId="4B9BFD6E" w14:textId="77777777" w:rsidR="000979D7" w:rsidRPr="000979D7" w:rsidRDefault="000979D7" w:rsidP="000979D7">
      <w:pPr>
        <w:pStyle w:val="Paragraphedeliste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537D185D" w14:textId="3994D463" w:rsidR="000979D7" w:rsidRPr="000979D7" w:rsidRDefault="000979D7" w:rsidP="000979D7">
      <w:pPr>
        <w:ind w:left="720"/>
        <w:jc w:val="both"/>
      </w:pPr>
      <w:r w:rsidRPr="000979D7">
        <w:rPr>
          <w:color w:val="000000"/>
        </w:rPr>
        <w:t>-  La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  <w:spacing w:val="-1"/>
        </w:rPr>
        <w:t>c</w:t>
      </w:r>
      <w:r w:rsidRPr="000979D7">
        <w:rPr>
          <w:color w:val="000000"/>
        </w:rPr>
        <w:t>on</w:t>
      </w:r>
      <w:r w:rsidRPr="000979D7">
        <w:rPr>
          <w:color w:val="000000"/>
          <w:spacing w:val="-1"/>
        </w:rPr>
        <w:t>tr</w:t>
      </w:r>
      <w:r w:rsidRPr="000979D7">
        <w:rPr>
          <w:color w:val="000000"/>
        </w:rPr>
        <w:t>a</w:t>
      </w:r>
      <w:r w:rsidRPr="000979D7">
        <w:rPr>
          <w:color w:val="000000"/>
          <w:spacing w:val="-1"/>
        </w:rPr>
        <w:t>ct</w:t>
      </w:r>
      <w:r w:rsidRPr="000979D7">
        <w:rPr>
          <w:color w:val="000000"/>
        </w:rPr>
        <w:t>uali</w:t>
      </w:r>
      <w:r w:rsidRPr="000979D7">
        <w:rPr>
          <w:color w:val="000000"/>
          <w:spacing w:val="-1"/>
        </w:rPr>
        <w:t>s</w:t>
      </w:r>
      <w:r w:rsidRPr="000979D7">
        <w:rPr>
          <w:color w:val="000000"/>
        </w:rPr>
        <w:t>a</w:t>
      </w:r>
      <w:r w:rsidRPr="000979D7">
        <w:rPr>
          <w:color w:val="000000"/>
          <w:spacing w:val="-1"/>
        </w:rPr>
        <w:t>t</w:t>
      </w:r>
      <w:r w:rsidRPr="000979D7">
        <w:rPr>
          <w:color w:val="000000"/>
        </w:rPr>
        <w:t>ion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d</w:t>
      </w:r>
      <w:r w:rsidRPr="000979D7">
        <w:rPr>
          <w:color w:val="000000"/>
          <w:spacing w:val="-1"/>
        </w:rPr>
        <w:t>e</w:t>
      </w:r>
      <w:r w:rsidRPr="000979D7">
        <w:rPr>
          <w:color w:val="000000"/>
        </w:rPr>
        <w:t>s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a</w:t>
      </w:r>
      <w:r w:rsidRPr="000979D7">
        <w:rPr>
          <w:color w:val="000000"/>
          <w:spacing w:val="-1"/>
        </w:rPr>
        <w:t>tte</w:t>
      </w:r>
      <w:r w:rsidRPr="000979D7">
        <w:rPr>
          <w:color w:val="000000"/>
        </w:rPr>
        <w:t>in</w:t>
      </w:r>
      <w:r w:rsidRPr="000979D7">
        <w:rPr>
          <w:color w:val="000000"/>
          <w:spacing w:val="-1"/>
        </w:rPr>
        <w:t>te</w:t>
      </w:r>
      <w:r w:rsidRPr="000979D7">
        <w:rPr>
          <w:color w:val="000000"/>
        </w:rPr>
        <w:t>s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à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la</w:t>
      </w:r>
      <w:r w:rsidRPr="000979D7">
        <w:rPr>
          <w:rStyle w:val="apple-converted-space"/>
          <w:color w:val="000000"/>
        </w:rPr>
        <w:t> </w:t>
      </w:r>
      <w:proofErr w:type="gramStart"/>
      <w:r w:rsidRPr="000979D7">
        <w:rPr>
          <w:color w:val="000000"/>
        </w:rPr>
        <w:t>p</w:t>
      </w:r>
      <w:r w:rsidRPr="000979D7">
        <w:rPr>
          <w:color w:val="000000"/>
          <w:spacing w:val="-1"/>
        </w:rPr>
        <w:t>r</w:t>
      </w:r>
      <w:r w:rsidRPr="000979D7">
        <w:rPr>
          <w:color w:val="000000"/>
        </w:rPr>
        <w:t>obi</w:t>
      </w:r>
      <w:r w:rsidRPr="000979D7">
        <w:rPr>
          <w:color w:val="000000"/>
          <w:spacing w:val="-1"/>
        </w:rPr>
        <w:t>t</w:t>
      </w:r>
      <w:r w:rsidRPr="000979D7">
        <w:rPr>
          <w:color w:val="000000"/>
        </w:rPr>
        <w:t>é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,</w:t>
      </w:r>
      <w:proofErr w:type="gramEnd"/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 xml:space="preserve">in SM. </w:t>
      </w:r>
      <w:proofErr w:type="spellStart"/>
      <w:r w:rsidRPr="000979D7">
        <w:rPr>
          <w:color w:val="000000"/>
        </w:rPr>
        <w:t>C</w:t>
      </w:r>
      <w:r w:rsidR="00562ACE">
        <w:rPr>
          <w:color w:val="000000"/>
        </w:rPr>
        <w:t>abon</w:t>
      </w:r>
      <w:proofErr w:type="spellEnd"/>
      <w:r w:rsidRPr="000979D7">
        <w:rPr>
          <w:color w:val="000000"/>
        </w:rPr>
        <w:t>,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E. G</w:t>
      </w:r>
      <w:r w:rsidR="00562ACE">
        <w:rPr>
          <w:color w:val="000000"/>
        </w:rPr>
        <w:t>indre</w:t>
      </w:r>
      <w:r w:rsidRPr="000979D7">
        <w:rPr>
          <w:color w:val="000000"/>
        </w:rPr>
        <w:t xml:space="preserve"> (</w:t>
      </w:r>
      <w:proofErr w:type="spellStart"/>
      <w:r w:rsidRPr="000979D7">
        <w:rPr>
          <w:color w:val="000000"/>
        </w:rPr>
        <w:t>dir</w:t>
      </w:r>
      <w:proofErr w:type="spellEnd"/>
      <w:r w:rsidRPr="000979D7">
        <w:rPr>
          <w:color w:val="000000"/>
        </w:rPr>
        <w:t>.),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L’efficacité des dispositifs de lutte contre les atteintes à probité, la nécessité d’une réflexion pour les Outre-mer,</w:t>
      </w:r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éd. LexisNexis, Janvier 2022.  </w:t>
      </w:r>
    </w:p>
    <w:p w14:paraId="3D46CD11" w14:textId="537FE634" w:rsidR="000979D7" w:rsidRPr="000979D7" w:rsidRDefault="000979D7" w:rsidP="000979D7">
      <w:pPr>
        <w:ind w:left="720"/>
        <w:jc w:val="both"/>
      </w:pPr>
      <w:r w:rsidRPr="000979D7">
        <w:rPr>
          <w:color w:val="000000"/>
        </w:rPr>
        <w:t>-  </w:t>
      </w:r>
      <w:r w:rsidRPr="000979D7">
        <w:t xml:space="preserve">Entre pragmatisme et idéalisme, quelle place pour la négociation en Droit pénal </w:t>
      </w:r>
      <w:proofErr w:type="gramStart"/>
      <w:r w:rsidRPr="000979D7">
        <w:t>fiscal ?</w:t>
      </w:r>
      <w:r w:rsidR="001D72AB">
        <w:t>,</w:t>
      </w:r>
      <w:proofErr w:type="gramEnd"/>
      <w:r w:rsidRPr="000979D7">
        <w:t> Droit fiscal, Mars 2019.</w:t>
      </w:r>
    </w:p>
    <w:p w14:paraId="0B0A7880" w14:textId="7434EB49" w:rsidR="000979D7" w:rsidRPr="000979D7" w:rsidRDefault="000979D7" w:rsidP="000979D7">
      <w:pPr>
        <w:ind w:left="720"/>
        <w:jc w:val="both"/>
        <w:rPr>
          <w:color w:val="000000"/>
        </w:rPr>
      </w:pPr>
      <w:r w:rsidRPr="000979D7">
        <w:rPr>
          <w:color w:val="000000"/>
        </w:rPr>
        <w:t xml:space="preserve">- Les procédures pénales accélérées ou négociées, une justice à quel </w:t>
      </w:r>
      <w:proofErr w:type="gramStart"/>
      <w:r w:rsidRPr="000979D7">
        <w:rPr>
          <w:color w:val="000000"/>
        </w:rPr>
        <w:t>prix ?,</w:t>
      </w:r>
      <w:proofErr w:type="gramEnd"/>
      <w:r w:rsidRPr="000979D7">
        <w:rPr>
          <w:rStyle w:val="apple-converted-space"/>
          <w:color w:val="000000"/>
        </w:rPr>
        <w:t> </w:t>
      </w:r>
      <w:r w:rsidRPr="000979D7">
        <w:rPr>
          <w:color w:val="000000"/>
        </w:rPr>
        <w:t>in C. C</w:t>
      </w:r>
      <w:r w:rsidR="00562ACE">
        <w:rPr>
          <w:color w:val="000000"/>
        </w:rPr>
        <w:t>laverie</w:t>
      </w:r>
      <w:r w:rsidRPr="000979D7">
        <w:rPr>
          <w:color w:val="000000"/>
        </w:rPr>
        <w:t xml:space="preserve"> (</w:t>
      </w:r>
      <w:proofErr w:type="spellStart"/>
      <w:r w:rsidRPr="000979D7">
        <w:rPr>
          <w:color w:val="000000"/>
        </w:rPr>
        <w:t>dir</w:t>
      </w:r>
      <w:proofErr w:type="spellEnd"/>
      <w:r w:rsidRPr="000979D7">
        <w:rPr>
          <w:color w:val="000000"/>
        </w:rPr>
        <w:t>.), Analyse économique et matière pénale, LexisNexis, 2018, p. 119</w:t>
      </w:r>
    </w:p>
    <w:p w14:paraId="0DDAC3E5" w14:textId="14B16323" w:rsidR="000979D7" w:rsidRDefault="000979D7" w:rsidP="000979D7">
      <w:pPr>
        <w:ind w:left="720"/>
        <w:jc w:val="both"/>
        <w:rPr>
          <w:color w:val="333333"/>
        </w:rPr>
      </w:pPr>
      <w:r w:rsidRPr="000979D7">
        <w:rPr>
          <w:color w:val="333333"/>
        </w:rPr>
        <w:t>- La condamnation d’un lanceur d’alerte pour divulgation de documents fiscaux n’emporte pas la violation de l’article 10 de la Convention</w:t>
      </w:r>
      <w:r>
        <w:rPr>
          <w:color w:val="333333"/>
        </w:rPr>
        <w:t xml:space="preserve"> </w:t>
      </w:r>
      <w:r w:rsidRPr="000979D7">
        <w:rPr>
          <w:color w:val="333333"/>
        </w:rPr>
        <w:t xml:space="preserve">CEDH (3e section), 11 mai 2021, </w:t>
      </w:r>
      <w:proofErr w:type="spellStart"/>
      <w:r w:rsidRPr="000979D7">
        <w:rPr>
          <w:color w:val="333333"/>
        </w:rPr>
        <w:t>H</w:t>
      </w:r>
      <w:r w:rsidR="00562ACE">
        <w:rPr>
          <w:color w:val="333333"/>
        </w:rPr>
        <w:t>alet</w:t>
      </w:r>
      <w:proofErr w:type="spellEnd"/>
      <w:r w:rsidRPr="000979D7">
        <w:rPr>
          <w:color w:val="333333"/>
        </w:rPr>
        <w:t xml:space="preserve"> c. Luxembourg, Revue Pénitentiaire et de droit pénal, n°2, Avril-Juin 2021.</w:t>
      </w:r>
    </w:p>
    <w:p w14:paraId="23CB6670" w14:textId="263CEF39" w:rsidR="001D72AB" w:rsidRDefault="001D72AB" w:rsidP="000979D7">
      <w:pPr>
        <w:ind w:left="720"/>
        <w:jc w:val="both"/>
        <w:rPr>
          <w:color w:val="333333"/>
        </w:rPr>
      </w:pPr>
      <w:r>
        <w:rPr>
          <w:color w:val="333333"/>
        </w:rPr>
        <w:t>- La lutte contre la corruption et les entreprises outre-mer, AJDA, n°42, 14 décembre 2020</w:t>
      </w:r>
    </w:p>
    <w:p w14:paraId="687E7ABF" w14:textId="77777777" w:rsidR="00562ACE" w:rsidRPr="000979D7" w:rsidRDefault="00562ACE" w:rsidP="00562ACE">
      <w:pPr>
        <w:ind w:left="720" w:right="3075"/>
        <w:jc w:val="both"/>
      </w:pPr>
    </w:p>
    <w:p w14:paraId="5AB2AC42" w14:textId="6FFFA2F4" w:rsidR="00F85956" w:rsidRPr="0080059A" w:rsidRDefault="00F85956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hAnsi="Times New Roman" w:cs="Times New Roman"/>
          <w:color w:val="555555"/>
          <w:sz w:val="24"/>
          <w:szCs w:val="24"/>
        </w:rPr>
        <w:t xml:space="preserve">Cayrol, </w:t>
      </w:r>
      <w:r w:rsidRPr="00B668F2">
        <w:rPr>
          <w:rFonts w:ascii="Times New Roman" w:hAnsi="Times New Roman" w:cs="Times New Roman"/>
          <w:color w:val="061622"/>
          <w:sz w:val="24"/>
          <w:szCs w:val="24"/>
        </w:rPr>
        <w:t xml:space="preserve">N., </w:t>
      </w:r>
      <w:hyperlink r:id="rId35" w:history="1">
        <w:r w:rsidRPr="00B668F2">
          <w:rPr>
            <w:rStyle w:val="Lienhypertexte"/>
            <w:rFonts w:ascii="Times New Roman" w:hAnsi="Times New Roman" w:cs="Times New Roman"/>
            <w:color w:val="660002"/>
            <w:sz w:val="24"/>
            <w:szCs w:val="24"/>
          </w:rPr>
          <w:t>Des principes processuels en Droit de la Compliance</w:t>
        </w:r>
      </w:hyperlink>
      <w:r w:rsidRPr="00B668F2">
        <w:rPr>
          <w:rFonts w:ascii="Times New Roman" w:hAnsi="Times New Roman" w:cs="Times New Roman"/>
          <w:color w:val="555555"/>
          <w:sz w:val="24"/>
          <w:szCs w:val="24"/>
        </w:rPr>
        <w:t>, 2023</w:t>
      </w:r>
    </w:p>
    <w:p w14:paraId="377045DD" w14:textId="77777777" w:rsidR="0080059A" w:rsidRPr="0080059A" w:rsidRDefault="0080059A" w:rsidP="0080059A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08BC3600" w14:textId="785EE37F" w:rsidR="0080059A" w:rsidRPr="00B668F2" w:rsidRDefault="0080059A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Claude, O.</w:t>
      </w:r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</w:t>
      </w:r>
      <w:proofErr w:type="spellStart"/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Méziani</w:t>
      </w:r>
      <w:proofErr w:type="spellEnd"/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L., </w:t>
      </w:r>
      <w:hyperlink r:id="rId36" w:history="1">
        <w:r w:rsidR="00C86190" w:rsidRPr="004A3F5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Devoir de vigilance et Greenwashing</w:t>
        </w:r>
      </w:hyperlink>
      <w:r w:rsidR="00C86190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Cahiers de droits de l’entreprise, septembre-octobre 2022, p. 27</w:t>
      </w:r>
    </w:p>
    <w:p w14:paraId="3D1B6141" w14:textId="77777777" w:rsidR="00B668F2" w:rsidRDefault="00B668F2" w:rsidP="00B668F2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6AA3E730" w14:textId="77777777" w:rsidR="00F861D1" w:rsidRPr="00A04D18" w:rsidRDefault="00F861D1" w:rsidP="00F861D1">
      <w:pPr>
        <w:pStyle w:val="Paragraphedeliste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D18">
        <w:rPr>
          <w:rFonts w:ascii="Times New Roman" w:hAnsi="Times New Roman" w:cs="Times New Roman"/>
          <w:sz w:val="24"/>
          <w:szCs w:val="24"/>
        </w:rPr>
        <w:t>Coppens, K.,</w:t>
      </w:r>
    </w:p>
    <w:p w14:paraId="2CE90C62" w14:textId="77777777" w:rsidR="00F861D1" w:rsidRPr="00A04D18" w:rsidRDefault="00F861D1" w:rsidP="00F861D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038CCD51" w14:textId="77777777" w:rsidR="00F861D1" w:rsidRPr="00A04D18" w:rsidRDefault="00F861D1" w:rsidP="00F861D1">
      <w:pPr>
        <w:pStyle w:val="Paragraphedeliste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4D18">
        <w:rPr>
          <w:rFonts w:ascii="Times New Roman" w:hAnsi="Times New Roman" w:cs="Times New Roman"/>
          <w:sz w:val="24"/>
          <w:szCs w:val="24"/>
        </w:rPr>
        <w:t>Burlingame</w:t>
      </w:r>
      <w:proofErr w:type="spellEnd"/>
      <w:r w:rsidRPr="00A04D18">
        <w:rPr>
          <w:rFonts w:ascii="Times New Roman" w:hAnsi="Times New Roman" w:cs="Times New Roman"/>
          <w:sz w:val="24"/>
          <w:szCs w:val="24"/>
        </w:rPr>
        <w:t xml:space="preserve">, R., Coppens, K., Sivignon, J., </w:t>
      </w:r>
      <w:hyperlink r:id="rId37" w:history="1">
        <w:r w:rsidRPr="00A04D18">
          <w:rPr>
            <w:rStyle w:val="Lienhypertexte"/>
            <w:rFonts w:ascii="Times New Roman" w:hAnsi="Times New Roman" w:cs="Times New Roman"/>
            <w:sz w:val="24"/>
            <w:szCs w:val="24"/>
          </w:rPr>
          <w:t>Le Parquet national financier publie de nouvelles lignes directrices</w:t>
        </w:r>
      </w:hyperlink>
      <w:r w:rsidRPr="00A04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D18">
        <w:rPr>
          <w:rFonts w:ascii="Times New Roman" w:hAnsi="Times New Roman" w:cs="Times New Roman"/>
          <w:sz w:val="24"/>
          <w:szCs w:val="24"/>
        </w:rPr>
        <w:t>Dechert</w:t>
      </w:r>
      <w:proofErr w:type="spellEnd"/>
      <w:r w:rsidRPr="00A0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D18">
        <w:rPr>
          <w:rFonts w:ascii="Times New Roman" w:hAnsi="Times New Roman" w:cs="Times New Roman"/>
          <w:sz w:val="24"/>
          <w:szCs w:val="24"/>
        </w:rPr>
        <w:t>OnPoint</w:t>
      </w:r>
      <w:proofErr w:type="spellEnd"/>
      <w:r w:rsidRPr="00A04D18">
        <w:rPr>
          <w:rFonts w:ascii="Times New Roman" w:hAnsi="Times New Roman" w:cs="Times New Roman"/>
          <w:sz w:val="24"/>
          <w:szCs w:val="24"/>
        </w:rPr>
        <w:t>, 2023</w:t>
      </w:r>
    </w:p>
    <w:p w14:paraId="4BAD5B5D" w14:textId="77777777" w:rsidR="00F861D1" w:rsidRPr="00A04D18" w:rsidRDefault="00F861D1" w:rsidP="00F861D1">
      <w:pPr>
        <w:pStyle w:val="Paragraphedeliste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4D18">
        <w:rPr>
          <w:rFonts w:ascii="Times New Roman" w:hAnsi="Times New Roman" w:cs="Times New Roman"/>
          <w:sz w:val="24"/>
          <w:szCs w:val="24"/>
          <w:lang w:val="en-US"/>
        </w:rPr>
        <w:t xml:space="preserve">Bowden, T., , </w:t>
      </w:r>
      <w:proofErr w:type="spellStart"/>
      <w:r w:rsidRPr="00A04D18">
        <w:rPr>
          <w:rFonts w:ascii="Times New Roman" w:hAnsi="Times New Roman" w:cs="Times New Roman"/>
          <w:sz w:val="24"/>
          <w:szCs w:val="24"/>
        </w:rPr>
        <w:t>Burlingame</w:t>
      </w:r>
      <w:proofErr w:type="spellEnd"/>
      <w:r w:rsidRPr="00A04D18">
        <w:rPr>
          <w:rFonts w:ascii="Times New Roman" w:hAnsi="Times New Roman" w:cs="Times New Roman"/>
          <w:sz w:val="24"/>
          <w:szCs w:val="24"/>
        </w:rPr>
        <w:t>, R., Brown, J., Coppens, K.</w:t>
      </w:r>
      <w:r w:rsidRPr="00A04D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8" w:history="1">
        <w:r w:rsidRPr="00A04D1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Corporate Investigations 2023</w:t>
        </w:r>
      </w:hyperlink>
      <w:r w:rsidRPr="00A04D18">
        <w:rPr>
          <w:rFonts w:ascii="Times New Roman" w:hAnsi="Times New Roman" w:cs="Times New Roman"/>
          <w:sz w:val="24"/>
          <w:szCs w:val="24"/>
          <w:lang w:val="en-US"/>
        </w:rPr>
        <w:t>, International Comparative Legal Guide, page 1 à 7, 2023</w:t>
      </w:r>
    </w:p>
    <w:p w14:paraId="5496EECD" w14:textId="77777777" w:rsidR="00F861D1" w:rsidRPr="00A04D18" w:rsidRDefault="00F861D1" w:rsidP="00F861D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</w:pPr>
      <w:r w:rsidRPr="00A04D18">
        <w:rPr>
          <w:rFonts w:ascii="Times New Roman" w:hAnsi="Times New Roman" w:cs="Times New Roman"/>
          <w:sz w:val="24"/>
          <w:szCs w:val="24"/>
          <w:lang w:val="en-US"/>
        </w:rPr>
        <w:t xml:space="preserve">Barnett, B., Coppens, K., Hodge, R., </w:t>
      </w:r>
      <w:proofErr w:type="spellStart"/>
      <w:r w:rsidRPr="00A04D18">
        <w:rPr>
          <w:rFonts w:ascii="Times New Roman" w:hAnsi="Times New Roman" w:cs="Times New Roman"/>
          <w:sz w:val="24"/>
          <w:szCs w:val="24"/>
          <w:lang w:val="en-US"/>
        </w:rPr>
        <w:t>Latifyan</w:t>
      </w:r>
      <w:proofErr w:type="spellEnd"/>
      <w:r w:rsidRPr="00A04D18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hyperlink r:id="rId39" w:history="1">
        <w:r w:rsidRPr="00A04D1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eDiscovery in Multi-Jurisdictional Investigations: Preparing to Play Multi-Level Chess</w:t>
        </w:r>
      </w:hyperlink>
      <w:r w:rsidRPr="00A04D18">
        <w:rPr>
          <w:rFonts w:ascii="Times New Roman" w:hAnsi="Times New Roman" w:cs="Times New Roman"/>
          <w:sz w:val="24"/>
          <w:szCs w:val="24"/>
          <w:lang w:val="en-US"/>
        </w:rPr>
        <w:t>, Dechert OnPoint, 2018</w:t>
      </w:r>
    </w:p>
    <w:p w14:paraId="267ED451" w14:textId="77777777" w:rsidR="00F861D1" w:rsidRPr="00F861D1" w:rsidRDefault="00F861D1" w:rsidP="00B668F2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</w:pPr>
    </w:p>
    <w:p w14:paraId="755E0570" w14:textId="5B56CF70" w:rsidR="0093393E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Darrois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J.-M., </w:t>
      </w:r>
      <w:hyperlink r:id="rId40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loi Sapin 2 : un défi pour les avocats</w:t>
        </w:r>
      </w:hyperlink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2017</w:t>
      </w:r>
    </w:p>
    <w:p w14:paraId="5F152A2B" w14:textId="77777777" w:rsidR="00A61F9C" w:rsidRPr="00327CEB" w:rsidRDefault="00A61F9C" w:rsidP="00327CEB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22D93A09" w14:textId="4F9FE8A4" w:rsidR="00EA1D35" w:rsidRDefault="00A61F9C" w:rsidP="00327CEB">
      <w:pPr>
        <w:pStyle w:val="Paragraphedeliste"/>
        <w:numPr>
          <w:ilvl w:val="0"/>
          <w:numId w:val="2"/>
        </w:numPr>
        <w:rPr>
          <w:lang w:val="fr-FR"/>
        </w:rPr>
      </w:pPr>
      <w:proofErr w:type="spellStart"/>
      <w:r w:rsidRPr="00327CEB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Doudet</w:t>
      </w:r>
      <w:proofErr w:type="spellEnd"/>
      <w:r w:rsidRPr="00327CEB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R. </w:t>
      </w:r>
      <w:hyperlink r:id="rId41" w:history="1">
        <w:r w:rsidRPr="00092F6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L’avocat-enquêteur en matière de harcèlement moral : sécurité, objectivité et confidentialité</w:t>
        </w:r>
      </w:hyperlink>
      <w:r w:rsidRPr="00327CEB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JCP La Semaine juridique, Edition Sociale, 2 août 2022,</w:t>
      </w:r>
    </w:p>
    <w:p w14:paraId="7594E035" w14:textId="77777777" w:rsidR="00EA1D35" w:rsidRDefault="00EA1D35" w:rsidP="00EA1D35">
      <w:pPr>
        <w:rPr>
          <w:color w:val="323232"/>
        </w:rPr>
      </w:pPr>
    </w:p>
    <w:p w14:paraId="4318ED23" w14:textId="5B683FC5" w:rsidR="00A61F9C" w:rsidRDefault="00EA1D35" w:rsidP="00EA1D35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Durand-</w:t>
      </w:r>
      <w:proofErr w:type="spellStart"/>
      <w:r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Poincloux</w:t>
      </w:r>
      <w:proofErr w:type="spellEnd"/>
      <w:r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M., </w:t>
      </w:r>
      <w:hyperlink r:id="rId42" w:history="1">
        <w:r w:rsidRPr="00092F6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Transiger en matière pénale</w:t>
        </w:r>
      </w:hyperlink>
      <w:r w:rsidRPr="00EA1D35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Fiche Pratique, Lexis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2022</w:t>
      </w:r>
    </w:p>
    <w:p w14:paraId="6D38577C" w14:textId="77777777" w:rsidR="00092F64" w:rsidRPr="00092F64" w:rsidRDefault="00092F64" w:rsidP="00092F64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6DE9A427" w14:textId="7790CB08" w:rsidR="00092F64" w:rsidRDefault="00092F64" w:rsidP="00092F64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Fabre, L., </w:t>
      </w:r>
      <w:proofErr w:type="spellStart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Méziani</w:t>
      </w:r>
      <w:proofErr w:type="spellEnd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L., </w:t>
      </w:r>
      <w:r w:rsidRP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Mignon</w:t>
      </w:r>
      <w:r w:rsidR="00E5152B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proofErr w:type="spellStart"/>
      <w:r w:rsidRP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Colombet</w:t>
      </w:r>
      <w:proofErr w:type="spellEnd"/>
      <w:r w:rsidRP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A.,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Simon, J., </w:t>
      </w:r>
      <w:hyperlink r:id="rId43" w:history="1">
        <w:r w:rsidRPr="00B472C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Les nouveaux contours de la justice pénale négociée : CJIP et CRPC, quels enjeux et perspectives en matière économique, financière et environnementale ?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La Semaine Juridique, Edition Générale, n°16, 24 avril 2023, 525</w:t>
      </w:r>
    </w:p>
    <w:p w14:paraId="2C60F3F3" w14:textId="77777777" w:rsidR="00B668F2" w:rsidRPr="00B668F2" w:rsidRDefault="00B668F2" w:rsidP="00327CEB">
      <w:pPr>
        <w:pStyle w:val="Paragraphedeliste"/>
        <w:ind w:left="360"/>
        <w:rPr>
          <w:lang w:val="fr-FR"/>
        </w:rPr>
      </w:pPr>
    </w:p>
    <w:p w14:paraId="5677F8C0" w14:textId="6E59819C" w:rsidR="0093393E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Fasterling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B., </w:t>
      </w:r>
      <w:hyperlink r:id="rId44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Criminal Compliance - Les risques d'un droit pénal du risque</w:t>
        </w:r>
      </w:hyperlink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</w:t>
      </w:r>
      <w:r w:rsidR="003A2BF3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2016</w:t>
      </w:r>
    </w:p>
    <w:p w14:paraId="2EAB2FB5" w14:textId="77777777" w:rsidR="00A04D18" w:rsidRPr="00A04D18" w:rsidRDefault="00A04D18" w:rsidP="00A04D18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335A6A42" w14:textId="055D29E2" w:rsidR="00A04D18" w:rsidRDefault="00A04D18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lastRenderedPageBreak/>
        <w:t>Fiorini</w:t>
      </w:r>
      <w:proofErr w:type="spellEnd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B., </w:t>
      </w:r>
      <w:hyperlink r:id="rId45" w:history="1">
        <w:r w:rsidRPr="00A04D1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Le plaider-coupable, cheval de Troie de l’erreur judiciaire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Délibérée, 2022/2, p. 47</w:t>
      </w:r>
    </w:p>
    <w:p w14:paraId="7CD66840" w14:textId="77777777" w:rsidR="00C86190" w:rsidRPr="00B668F2" w:rsidRDefault="00C86190" w:rsidP="00327CEB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246DF5CE" w14:textId="029BD133" w:rsidR="0093393E" w:rsidRPr="00B668F2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Frison-Roche, M.A.</w:t>
      </w:r>
      <w:r w:rsidR="00BB3D33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</w:t>
      </w: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  </w:t>
      </w:r>
    </w:p>
    <w:p w14:paraId="0DE95D32" w14:textId="38D0BC39" w:rsidR="00541A46" w:rsidRPr="00B668F2" w:rsidRDefault="00000000" w:rsidP="00541A46">
      <w:pPr>
        <w:pStyle w:val="NormalWeb"/>
        <w:numPr>
          <w:ilvl w:val="1"/>
          <w:numId w:val="2"/>
        </w:numPr>
        <w:spacing w:before="0" w:beforeAutospacing="0" w:after="150" w:afterAutospacing="0"/>
        <w:rPr>
          <w:color w:val="555555"/>
        </w:rPr>
      </w:pPr>
      <w:hyperlink r:id="rId46" w:history="1">
        <w:r w:rsidR="00541A46" w:rsidRPr="00B668F2">
          <w:rPr>
            <w:rStyle w:val="Lienhypertexte"/>
            <w:color w:val="660002"/>
          </w:rPr>
          <w:t>Conforter le rôle du Juge et de l'Avocat pour imposer la Compliance comme caractéristique de l'État de Droit</w:t>
        </w:r>
      </w:hyperlink>
      <w:r w:rsidR="00541A46" w:rsidRPr="00B668F2">
        <w:rPr>
          <w:color w:val="555555"/>
        </w:rPr>
        <w:t>, 2023</w:t>
      </w:r>
    </w:p>
    <w:p w14:paraId="67761038" w14:textId="15EBB0C6" w:rsidR="0093393E" w:rsidRPr="00B668F2" w:rsidRDefault="00000000" w:rsidP="00BB3D33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47" w:history="1"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Le jugeant- jugé ; articuler les mots et les choses face à l'impossible conflit d'intérêts</w:t>
        </w:r>
      </w:hyperlink>
      <w:r w:rsidR="0093393E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2023</w:t>
      </w:r>
    </w:p>
    <w:p w14:paraId="7A7042E3" w14:textId="265537DF" w:rsidR="00016BB7" w:rsidRPr="00B668F2" w:rsidRDefault="00000000" w:rsidP="00BB3D33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48" w:history="1">
        <w:r w:rsidR="00016BB7" w:rsidRPr="00B668F2">
          <w:rPr>
            <w:rStyle w:val="Lienhypertexte"/>
            <w:rFonts w:ascii="Times New Roman" w:hAnsi="Times New Roman" w:cs="Times New Roman"/>
            <w:color w:val="660002"/>
            <w:sz w:val="24"/>
            <w:szCs w:val="24"/>
          </w:rPr>
          <w:t>Ajuster par la nature des choses le Droit processuel au Droit de la Compliance</w:t>
        </w:r>
      </w:hyperlink>
      <w:r w:rsidR="00016BB7" w:rsidRPr="00B668F2">
        <w:rPr>
          <w:rFonts w:ascii="Times New Roman" w:hAnsi="Times New Roman" w:cs="Times New Roman"/>
          <w:color w:val="555555"/>
          <w:sz w:val="24"/>
          <w:szCs w:val="24"/>
        </w:rPr>
        <w:t>, 2023</w:t>
      </w:r>
    </w:p>
    <w:p w14:paraId="69EB68D9" w14:textId="5D2DC9D6" w:rsidR="0015377C" w:rsidRPr="00B668F2" w:rsidRDefault="00000000" w:rsidP="00BB3D33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49" w:history="1">
        <w:r w:rsidR="0015377C" w:rsidRPr="00B668F2">
          <w:rPr>
            <w:rStyle w:val="Lienhypertexte"/>
            <w:rFonts w:ascii="Times New Roman" w:hAnsi="Times New Roman" w:cs="Times New Roman"/>
            <w:color w:val="660002"/>
            <w:sz w:val="24"/>
            <w:szCs w:val="24"/>
          </w:rPr>
          <w:t>Le juge, l'obligation de compliance et l'entreprise. Le système probatoire de la Compliance</w:t>
        </w:r>
      </w:hyperlink>
      <w:r w:rsidR="0015377C" w:rsidRPr="00B668F2">
        <w:rPr>
          <w:rFonts w:ascii="Times New Roman" w:hAnsi="Times New Roman" w:cs="Times New Roman"/>
          <w:color w:val="555555"/>
          <w:sz w:val="24"/>
          <w:szCs w:val="24"/>
        </w:rPr>
        <w:t>, 2023</w:t>
      </w:r>
    </w:p>
    <w:p w14:paraId="1C14C6BE" w14:textId="7ACE2452" w:rsidR="0093393E" w:rsidRDefault="00000000" w:rsidP="00BB3D33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50" w:history="1"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Entreprise, Régulation, Juge : penser la compliance par ces trois personnages</w:t>
        </w:r>
      </w:hyperlink>
      <w:r w:rsidR="0093393E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2018</w:t>
      </w:r>
    </w:p>
    <w:p w14:paraId="5154584C" w14:textId="77777777" w:rsidR="003A2BF3" w:rsidRPr="00A04D18" w:rsidRDefault="003A2BF3" w:rsidP="003A2BF3">
      <w:pPr>
        <w:pStyle w:val="Paragraphedeliste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349405C6" w14:textId="48A18155" w:rsidR="004A3F5D" w:rsidRDefault="004A3F5D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Haeri</w:t>
      </w:r>
      <w:proofErr w:type="spellEnd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K., </w:t>
      </w:r>
      <w:hyperlink r:id="rId51" w:history="1">
        <w:r w:rsidRPr="004A3F5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La protection de l’information confidentielle dans les enquêtes pénales portant sur le dirigeant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Revue internationale de la compliance et de l’éthique des affaires, décembre 2022, p. 10</w:t>
      </w:r>
    </w:p>
    <w:p w14:paraId="00C8DD8F" w14:textId="77777777" w:rsidR="004A3F5D" w:rsidRDefault="004A3F5D" w:rsidP="004A3F5D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475347D3" w14:textId="1BCA2256" w:rsidR="0093393E" w:rsidRPr="00A04D18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Ingall-Montagnier, Ph., </w:t>
      </w:r>
      <w:hyperlink r:id="rId52" w:history="1">
        <w:r w:rsidRPr="00A04D18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compliance entre extra-judiciaire et émergence du juge</w:t>
        </w:r>
      </w:hyperlink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2018</w:t>
      </w:r>
    </w:p>
    <w:p w14:paraId="658D83A6" w14:textId="77777777" w:rsidR="0080059A" w:rsidRPr="00A04D18" w:rsidRDefault="0080059A" w:rsidP="0080059A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65A43E38" w14:textId="3362DCD5" w:rsidR="0080059A" w:rsidRPr="00A04D18" w:rsidRDefault="0080059A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Jambin</w:t>
      </w:r>
      <w:proofErr w:type="spellEnd"/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F., </w:t>
      </w:r>
      <w:proofErr w:type="spellStart"/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Méziani</w:t>
      </w:r>
      <w:proofErr w:type="spellEnd"/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L., </w:t>
      </w:r>
      <w:hyperlink r:id="rId53" w:history="1">
        <w:r w:rsidRPr="004A3F5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Le rôle des juristes et compliance </w:t>
        </w:r>
        <w:proofErr w:type="spellStart"/>
        <w:r w:rsidRPr="004A3F5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officers</w:t>
        </w:r>
        <w:proofErr w:type="spellEnd"/>
        <w:r w:rsidRPr="004A3F5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 xml:space="preserve"> dans le devoir de vigilance</w:t>
        </w:r>
      </w:hyperlink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Cahiers de droit de l’entreprise, septembre-octobre 2022, p.38</w:t>
      </w:r>
    </w:p>
    <w:p w14:paraId="7A869B3A" w14:textId="77777777" w:rsidR="00C2181F" w:rsidRPr="00A04D18" w:rsidRDefault="00C2181F" w:rsidP="00C2181F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1B3CC64F" w14:textId="6E87C45C" w:rsidR="003A2BF3" w:rsidRPr="00A04D18" w:rsidRDefault="0093393E" w:rsidP="003A2BF3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Koenigsberg</w:t>
      </w:r>
      <w:proofErr w:type="spellEnd"/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S. et</w:t>
      </w:r>
      <w:r w:rsidR="00BB3D33"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Barrière, Fr, </w:t>
      </w:r>
      <w:hyperlink r:id="rId54" w:history="1">
        <w:r w:rsidRPr="00A04D18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construction de l'expertise de l'avocat en matière de compliance</w:t>
        </w:r>
      </w:hyperlink>
      <w:r w:rsidRPr="00A04D1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2021</w:t>
      </w:r>
    </w:p>
    <w:p w14:paraId="004C4690" w14:textId="324B5A7F" w:rsidR="0093393E" w:rsidRDefault="0093393E" w:rsidP="00BB3D33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La </w:t>
      </w: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Cotardière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A.</w:t>
      </w:r>
      <w:r w:rsidR="0015377C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r w:rsidR="00B472C4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de,</w:t>
      </w: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hyperlink r:id="rId55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Le rôle de l'avocat en matière de compliance</w:t>
        </w:r>
      </w:hyperlink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2017</w:t>
      </w:r>
    </w:p>
    <w:p w14:paraId="7DB2C5AC" w14:textId="77777777" w:rsidR="003A2BF3" w:rsidRPr="00B668F2" w:rsidRDefault="003A2BF3" w:rsidP="003A2BF3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2CB93879" w14:textId="426FA250" w:rsidR="00F85956" w:rsidRPr="00FD5381" w:rsidRDefault="00F85956" w:rsidP="00BB3D33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hAnsi="Times New Roman" w:cs="Times New Roman"/>
          <w:color w:val="555555"/>
          <w:sz w:val="24"/>
          <w:szCs w:val="24"/>
        </w:rPr>
        <w:t>Lapp, </w:t>
      </w:r>
      <w:r w:rsidRPr="00B668F2">
        <w:rPr>
          <w:rFonts w:ascii="Times New Roman" w:hAnsi="Times New Roman" w:cs="Times New Roman"/>
          <w:color w:val="061622"/>
          <w:sz w:val="24"/>
          <w:szCs w:val="24"/>
        </w:rPr>
        <w:t xml:space="preserve">Ch., </w:t>
      </w:r>
      <w:hyperlink r:id="rId56" w:history="1">
        <w:r w:rsidRPr="00B668F2">
          <w:rPr>
            <w:rStyle w:val="Lienhypertexte"/>
            <w:rFonts w:ascii="Times New Roman" w:hAnsi="Times New Roman" w:cs="Times New Roman"/>
            <w:color w:val="660002"/>
            <w:sz w:val="24"/>
            <w:szCs w:val="24"/>
          </w:rPr>
          <w:t>La façon dont l'entreprise fonctionne pour concrétiser le Droit de la Compliance : Les statuts du process</w:t>
        </w:r>
      </w:hyperlink>
      <w:r w:rsidRPr="00B668F2">
        <w:rPr>
          <w:rFonts w:ascii="Times New Roman" w:hAnsi="Times New Roman" w:cs="Times New Roman"/>
          <w:color w:val="555555"/>
          <w:sz w:val="24"/>
          <w:szCs w:val="24"/>
        </w:rPr>
        <w:t>, 2023</w:t>
      </w:r>
    </w:p>
    <w:p w14:paraId="4FB2B46C" w14:textId="77777777" w:rsidR="00FD5381" w:rsidRPr="00B668F2" w:rsidRDefault="00FD5381" w:rsidP="00FD5381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440B9413" w14:textId="77777777" w:rsidR="00A73799" w:rsidRPr="00A73799" w:rsidRDefault="009E7373" w:rsidP="00BB3D33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Lartigue, M.,</w:t>
      </w:r>
    </w:p>
    <w:p w14:paraId="0B3C80A3" w14:textId="77777777" w:rsidR="00A73799" w:rsidRPr="00A73799" w:rsidRDefault="00A73799" w:rsidP="00A73799">
      <w:pPr>
        <w:pStyle w:val="Paragraphedelist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25C15ED" w14:textId="3C2369D3" w:rsidR="009E7373" w:rsidRPr="00A73799" w:rsidRDefault="00000000" w:rsidP="00A73799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57" w:history="1">
        <w:r w:rsidR="009E7373" w:rsidRPr="00802139">
          <w:rPr>
            <w:rStyle w:val="Lienhypertexte"/>
            <w:rFonts w:ascii="Times New Roman" w:hAnsi="Times New Roman" w:cs="Times New Roman"/>
            <w:color w:val="C0504D" w:themeColor="accent2"/>
            <w:sz w:val="24"/>
            <w:szCs w:val="24"/>
            <w:shd w:val="clear" w:color="auto" w:fill="FFFFFF"/>
          </w:rPr>
          <w:t>Nouvelles directives du PNF sur la CJIP : des clarifications très attendues par les avocats</w:t>
        </w:r>
      </w:hyperlink>
      <w:r w:rsidR="009E7373" w:rsidRPr="00B668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2023</w:t>
      </w:r>
    </w:p>
    <w:p w14:paraId="6F9FB6EA" w14:textId="3E0E0D5C" w:rsidR="00A73799" w:rsidRPr="00B668F2" w:rsidRDefault="00000000" w:rsidP="00A73799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58" w:history="1">
        <w:r w:rsidR="00892340" w:rsidRPr="00892340">
          <w:rPr>
            <w:rStyle w:val="Lienhypertexte"/>
            <w:rFonts w:ascii="Times New Roman" w:hAnsi="Times New Roman" w:cs="Times New Roman"/>
            <w:sz w:val="24"/>
            <w:szCs w:val="24"/>
            <w:shd w:val="clear" w:color="auto" w:fill="FFFFFF"/>
          </w:rPr>
          <w:t>L’avocat, enquêteur interne « pertinent » en matière sociale</w:t>
        </w:r>
      </w:hyperlink>
      <w:r w:rsidR="008923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Gazette du Palais, 25 avril 2023</w:t>
      </w:r>
    </w:p>
    <w:p w14:paraId="4C15F672" w14:textId="244DDA22" w:rsidR="00F85956" w:rsidRPr="00B668F2" w:rsidRDefault="00F85956" w:rsidP="00F85956">
      <w:pPr>
        <w:pStyle w:val="NormalWeb"/>
        <w:numPr>
          <w:ilvl w:val="0"/>
          <w:numId w:val="2"/>
        </w:numPr>
        <w:spacing w:before="0" w:beforeAutospacing="0" w:after="150" w:afterAutospacing="0"/>
        <w:rPr>
          <w:color w:val="555555"/>
        </w:rPr>
      </w:pPr>
      <w:r w:rsidRPr="00B668F2">
        <w:rPr>
          <w:color w:val="555555"/>
        </w:rPr>
        <w:t>Latour, D., </w:t>
      </w:r>
      <w:hyperlink r:id="rId59" w:history="1">
        <w:r w:rsidRPr="00B668F2">
          <w:rPr>
            <w:rStyle w:val="Lienhypertexte"/>
            <w:color w:val="660002"/>
          </w:rPr>
          <w:t>Les enquêtes internes au sein des entreprises</w:t>
        </w:r>
      </w:hyperlink>
      <w:r w:rsidRPr="00B668F2">
        <w:rPr>
          <w:color w:val="555555"/>
        </w:rPr>
        <w:t>, 2023</w:t>
      </w:r>
    </w:p>
    <w:p w14:paraId="5471A445" w14:textId="4290B8BE" w:rsidR="0093393E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Lapp, Ch.,  </w:t>
      </w:r>
      <w:hyperlink r:id="rId60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façon dont l'entreprise fonctionne pour concrétiser le Droit de la Compliance : Les statuts du process</w:t>
        </w:r>
      </w:hyperlink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2022</w:t>
      </w:r>
    </w:p>
    <w:p w14:paraId="060E1314" w14:textId="77777777" w:rsidR="00165E25" w:rsidRDefault="00165E25" w:rsidP="00165E25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1F114B29" w14:textId="58CD4C4B" w:rsidR="00D90288" w:rsidRDefault="00D90288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Leroy, N., </w:t>
      </w:r>
      <w:hyperlink r:id="rId61" w:history="1">
        <w:r w:rsidRPr="00165E2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La valeur probante de l’enquête interne en harcèlement au travail, Village de la justice</w:t>
        </w:r>
      </w:hyperlink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22 mars 2022</w:t>
      </w:r>
      <w:r w:rsidR="00A61F9C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</w:p>
    <w:p w14:paraId="450C1E33" w14:textId="77777777" w:rsidR="00FD5381" w:rsidRPr="00B668F2" w:rsidRDefault="00FD5381" w:rsidP="00FD5381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2CCDC46A" w14:textId="52A5D1DE" w:rsidR="00FD5381" w:rsidRPr="00FD5381" w:rsidRDefault="0093393E" w:rsidP="00FD5381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Merabet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S.,</w:t>
      </w:r>
      <w:r w:rsidR="00E42769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</w:p>
    <w:p w14:paraId="500E62E6" w14:textId="52F4FA4E" w:rsidR="00FD5381" w:rsidRDefault="0093393E" w:rsidP="00FD538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​</w:t>
      </w:r>
      <w:proofErr w:type="spellStart"/>
      <w:r>
        <w:fldChar w:fldCharType="begin"/>
      </w:r>
      <w:r>
        <w:instrText>HYPERLINK "https://mafr.fr/fr/article/la-vigilance-etre-juge-et-ne-pas-juger-in-frison-r/"</w:instrText>
      </w:r>
      <w:r>
        <w:fldChar w:fldCharType="separate"/>
      </w:r>
      <w:r w:rsidRPr="00B668F2">
        <w:rPr>
          <w:rFonts w:ascii="Times New Roman" w:eastAsia="Times New Roman" w:hAnsi="Times New Roman" w:cs="Times New Roman"/>
          <w:color w:val="660002"/>
          <w:sz w:val="24"/>
          <w:szCs w:val="24"/>
          <w:lang w:val="fr-FR"/>
        </w:rPr>
        <w:t>Etre</w:t>
      </w:r>
      <w:proofErr w:type="spellEnd"/>
      <w:r w:rsidRPr="00B668F2">
        <w:rPr>
          <w:rFonts w:ascii="Times New Roman" w:eastAsia="Times New Roman" w:hAnsi="Times New Roman" w:cs="Times New Roman"/>
          <w:color w:val="660002"/>
          <w:sz w:val="24"/>
          <w:szCs w:val="24"/>
          <w:lang w:val="fr-FR"/>
        </w:rPr>
        <w:t xml:space="preserve"> juge et ne pas juger</w:t>
      </w:r>
      <w:r>
        <w:rPr>
          <w:rFonts w:ascii="Times New Roman" w:eastAsia="Times New Roman" w:hAnsi="Times New Roman" w:cs="Times New Roman"/>
          <w:color w:val="660002"/>
          <w:sz w:val="24"/>
          <w:szCs w:val="24"/>
          <w:lang w:val="fr-FR"/>
        </w:rPr>
        <w:fldChar w:fldCharType="end"/>
      </w:r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2023 </w:t>
      </w:r>
    </w:p>
    <w:p w14:paraId="04DB9C36" w14:textId="3E710079" w:rsidR="0093393E" w:rsidRDefault="00000000" w:rsidP="00FD538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62" w:history="1">
        <w:r w:rsidR="0093393E"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morale by design</w:t>
        </w:r>
      </w:hyperlink>
      <w:r w:rsidR="0093393E"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2021</w:t>
      </w:r>
    </w:p>
    <w:p w14:paraId="6873F8BC" w14:textId="3BD5D71D" w:rsidR="0080059A" w:rsidRDefault="0080059A" w:rsidP="0080059A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lastRenderedPageBreak/>
        <w:t>Méziani</w:t>
      </w:r>
      <w:proofErr w:type="spellEnd"/>
      <w:r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L., L’autonomie de la personne morale dans le devoir de vigilance, Dalloz (à paraître) </w:t>
      </w:r>
    </w:p>
    <w:p w14:paraId="4030BB84" w14:textId="77777777" w:rsidR="0080059A" w:rsidRPr="0080059A" w:rsidRDefault="0080059A" w:rsidP="0080059A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457B52B0" w14:textId="4382AEB7" w:rsidR="00892340" w:rsidRDefault="0093393E" w:rsidP="00A73799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Mignon</w:t>
      </w:r>
      <w:r w:rsidR="00E5152B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proofErr w:type="spellStart"/>
      <w:r w:rsidRP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Colombet</w:t>
      </w:r>
      <w:proofErr w:type="spellEnd"/>
      <w:r w:rsidRPr="00802139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A., </w:t>
      </w:r>
    </w:p>
    <w:p w14:paraId="2720159C" w14:textId="77777777" w:rsidR="00892340" w:rsidRPr="00470AB1" w:rsidRDefault="00892340" w:rsidP="00892340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447EBB63" w14:textId="3214DA65" w:rsidR="00470AB1" w:rsidRPr="0077340F" w:rsidRDefault="00000000" w:rsidP="00470AB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63" w:history="1">
        <w:r w:rsidR="00470AB1" w:rsidRPr="0077340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en-US"/>
          </w:rPr>
          <w:t>Les progrès de la justice négociée</w:t>
        </w:r>
      </w:hyperlink>
      <w:r w:rsidR="00470AB1" w:rsidRPr="0077340F">
        <w:rPr>
          <w:rFonts w:ascii="Times New Roman" w:eastAsia="Times New Roman" w:hAnsi="Times New Roman" w:cs="Times New Roman"/>
          <w:sz w:val="24"/>
          <w:szCs w:val="24"/>
          <w:lang w:eastAsia="en-US"/>
        </w:rPr>
        <w:t>, Esprit</w:t>
      </w:r>
      <w:r w:rsidR="005448D9" w:rsidRPr="007734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470AB1" w:rsidRPr="0077340F">
        <w:rPr>
          <w:rFonts w:ascii="Times New Roman" w:eastAsia="Times New Roman" w:hAnsi="Times New Roman" w:cs="Times New Roman"/>
          <w:sz w:val="24"/>
          <w:szCs w:val="24"/>
          <w:lang w:eastAsia="en-US"/>
        </w:rPr>
        <w:t>avril 2023</w:t>
      </w:r>
      <w:r w:rsidR="005448D9" w:rsidRPr="0077340F">
        <w:rPr>
          <w:rFonts w:ascii="Times New Roman" w:eastAsia="Times New Roman" w:hAnsi="Times New Roman" w:cs="Times New Roman"/>
          <w:sz w:val="24"/>
          <w:szCs w:val="24"/>
          <w:lang w:eastAsia="en-US"/>
        </w:rPr>
        <w:t>, p.16</w:t>
      </w:r>
    </w:p>
    <w:p w14:paraId="22851E1C" w14:textId="1C5D5B27" w:rsidR="00470AB1" w:rsidRPr="0077340F" w:rsidRDefault="00000000" w:rsidP="00470AB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64" w:history="1">
        <w:r w:rsidR="00470AB1" w:rsidRPr="0077340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La convention judiciaire d’intérêt public européenne : espoir ou </w:t>
        </w:r>
        <w:proofErr w:type="gramStart"/>
        <w:r w:rsidR="00470AB1" w:rsidRPr="0077340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en-US"/>
          </w:rPr>
          <w:t>réalité ?,</w:t>
        </w:r>
        <w:proofErr w:type="gramEnd"/>
      </w:hyperlink>
      <w:r w:rsidR="00470AB1" w:rsidRPr="007734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 Semaine Juridique – Edition Générale, 19 décembre 2022 doctrine 1459</w:t>
      </w:r>
    </w:p>
    <w:p w14:paraId="7F6E1D76" w14:textId="740E3EC3" w:rsidR="00470AB1" w:rsidRPr="0077340F" w:rsidRDefault="00000000" w:rsidP="00470AB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hyperlink r:id="rId65" w:history="1">
        <w:r w:rsidR="00470AB1" w:rsidRPr="0077340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CJIP, quel avenir pour la convention judiciaire d’intérêt public, Revue internationale de compliance et de l’éthique des affaires</w:t>
        </w:r>
      </w:hyperlink>
      <w:r w:rsidR="00470AB1" w:rsidRPr="0077340F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avril 2021, n°2, </w:t>
      </w:r>
      <w:proofErr w:type="spellStart"/>
      <w:r w:rsidR="00470AB1" w:rsidRPr="0077340F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comm</w:t>
      </w:r>
      <w:proofErr w:type="spellEnd"/>
      <w:r w:rsidR="00470AB1" w:rsidRPr="0077340F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. 84</w:t>
      </w:r>
    </w:p>
    <w:p w14:paraId="5134BC15" w14:textId="30C41D53" w:rsidR="00470AB1" w:rsidRPr="001D72AB" w:rsidRDefault="0093393E" w:rsidP="00470AB1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77340F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La convention judiciaire d'intérêt public : vers une justice de </w:t>
      </w:r>
      <w:proofErr w:type="gramStart"/>
      <w:r w:rsidRPr="0077340F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coopération ?,</w:t>
      </w:r>
      <w:proofErr w:type="gramEnd"/>
      <w:r w:rsidR="004D2BD4" w:rsidRPr="0077340F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 </w:t>
      </w:r>
      <w:r w:rsidR="00470AB1" w:rsidRPr="0077340F">
        <w:rPr>
          <w:rFonts w:ascii="Times New Roman" w:hAnsi="Times New Roman" w:cs="Times New Roman"/>
          <w:color w:val="231F20"/>
          <w:w w:val="105"/>
          <w:sz w:val="24"/>
          <w:szCs w:val="24"/>
        </w:rPr>
        <w:t>AJ</w:t>
      </w:r>
      <w:r w:rsidR="00470AB1" w:rsidRPr="0077340F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="00470AB1" w:rsidRPr="0077340F">
        <w:rPr>
          <w:rFonts w:ascii="Times New Roman" w:hAnsi="Times New Roman" w:cs="Times New Roman"/>
          <w:color w:val="231F20"/>
          <w:w w:val="105"/>
          <w:sz w:val="24"/>
          <w:szCs w:val="24"/>
        </w:rPr>
        <w:t>pénal</w:t>
      </w:r>
      <w:r w:rsidR="00470AB1" w:rsidRPr="0077340F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="00470AB1" w:rsidRPr="0077340F">
        <w:rPr>
          <w:rFonts w:ascii="Times New Roman" w:hAnsi="Times New Roman" w:cs="Times New Roman"/>
          <w:color w:val="231F20"/>
          <w:w w:val="105"/>
          <w:sz w:val="24"/>
          <w:szCs w:val="24"/>
        </w:rPr>
        <w:t>2017.</w:t>
      </w:r>
      <w:r w:rsidR="00470AB1" w:rsidRPr="0077340F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="00470AB1" w:rsidRPr="0077340F">
        <w:rPr>
          <w:rFonts w:ascii="Times New Roman" w:hAnsi="Times New Roman" w:cs="Times New Roman"/>
          <w:color w:val="231F20"/>
          <w:w w:val="105"/>
          <w:sz w:val="24"/>
          <w:szCs w:val="24"/>
        </w:rPr>
        <w:t>68</w:t>
      </w:r>
    </w:p>
    <w:p w14:paraId="068C0C30" w14:textId="77777777" w:rsidR="001D72AB" w:rsidRPr="001D72AB" w:rsidRDefault="001D72AB" w:rsidP="001D72AB">
      <w:pPr>
        <w:pStyle w:val="Paragraphedeliste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6F74A546" w14:textId="0FB3FC7C" w:rsidR="001D72AB" w:rsidRPr="001D72AB" w:rsidRDefault="001D72AB" w:rsidP="001D72AB">
      <w:pPr>
        <w:pStyle w:val="Paragraphedeliste"/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 w:cs="Times New Roman"/>
          <w:color w:val="323232"/>
          <w:sz w:val="24"/>
          <w:szCs w:val="24"/>
        </w:rPr>
      </w:pPr>
      <w:r w:rsidRPr="001D72AB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 xml:space="preserve">Mignon </w:t>
      </w:r>
      <w:proofErr w:type="spellStart"/>
      <w:r w:rsidRPr="001D72AB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>Colombet</w:t>
      </w:r>
      <w:proofErr w:type="spellEnd"/>
      <w:r w:rsidRPr="001D72AB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>, A., Munoz-Pons, V.,</w:t>
      </w:r>
      <w:r w:rsidRPr="001D72A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D72AB">
        <w:rPr>
          <w:rFonts w:ascii="Times New Roman" w:hAnsi="Times New Roman" w:cs="Times New Roman"/>
          <w:color w:val="212121"/>
          <w:sz w:val="24"/>
          <w:szCs w:val="24"/>
        </w:rPr>
        <w:t>Entre</w:t>
      </w:r>
      <w:proofErr w:type="gramStart"/>
      <w:r w:rsidRPr="001D72AB">
        <w:rPr>
          <w:rFonts w:ascii="Times New Roman" w:hAnsi="Times New Roman" w:cs="Times New Roman"/>
          <w:color w:val="212121"/>
          <w:sz w:val="24"/>
          <w:szCs w:val="24"/>
        </w:rPr>
        <w:t xml:space="preserve"> «soft</w:t>
      </w:r>
      <w:proofErr w:type="gramEnd"/>
      <w:r w:rsidRPr="001D72A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1D72AB">
        <w:rPr>
          <w:rFonts w:ascii="Times New Roman" w:hAnsi="Times New Roman" w:cs="Times New Roman"/>
          <w:color w:val="212121"/>
          <w:sz w:val="24"/>
          <w:szCs w:val="24"/>
        </w:rPr>
        <w:t>law</w:t>
      </w:r>
      <w:proofErr w:type="spellEnd"/>
      <w:r w:rsidRPr="001D72AB">
        <w:rPr>
          <w:rFonts w:ascii="Times New Roman" w:hAnsi="Times New Roman" w:cs="Times New Roman"/>
          <w:color w:val="212121"/>
          <w:sz w:val="24"/>
          <w:szCs w:val="24"/>
        </w:rPr>
        <w:t>» et réglementation, l’enquête interne cherche son cadre, La Semaine Juridique - Edition Générale - N° 16 - 25 avril 2022</w:t>
      </w:r>
    </w:p>
    <w:p w14:paraId="032DE0A4" w14:textId="77777777" w:rsidR="003B5AE4" w:rsidRPr="00B668F2" w:rsidRDefault="003B5AE4" w:rsidP="003B5AE4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36881F71" w14:textId="02394FD6" w:rsidR="0093393E" w:rsidRDefault="0093393E" w:rsidP="0093393E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Manacorda</w:t>
      </w:r>
      <w:proofErr w:type="spellEnd"/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S. </w:t>
      </w:r>
      <w:hyperlink r:id="rId66" w:history="1">
        <w:r w:rsidRPr="00B668F2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La dynamique des programmes de conformité des entreprises : déclin ou transfiguration du droit pénal des affaires ?</w:t>
        </w:r>
      </w:hyperlink>
      <w:r w:rsidRPr="00B668F2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2015</w:t>
      </w:r>
    </w:p>
    <w:p w14:paraId="3587D0C2" w14:textId="77777777" w:rsidR="00D90288" w:rsidRPr="00B17E28" w:rsidRDefault="00D90288" w:rsidP="00327CEB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13EAB033" w14:textId="371BF2A7" w:rsidR="003B5AE4" w:rsidRPr="00B17E28" w:rsidRDefault="00D90288" w:rsidP="00D90288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Navacelle</w:t>
      </w:r>
      <w:proofErr w:type="spellEnd"/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S</w:t>
      </w:r>
      <w:r w:rsidR="00B472C4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. de</w:t>
      </w:r>
      <w:r w:rsidR="0074323A"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Lapierre, Th., </w:t>
      </w:r>
      <w:proofErr w:type="spellStart"/>
      <w:r w:rsidR="0074323A"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Zorilla</w:t>
      </w:r>
      <w:proofErr w:type="spellEnd"/>
      <w:r w:rsidR="0074323A"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J.</w:t>
      </w:r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</w:t>
      </w:r>
      <w:hyperlink r:id="rId67" w:history="1">
        <w:r w:rsidR="0074323A" w:rsidRPr="00B17E2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Guide du praticien des enquêtes internationales - France</w:t>
        </w:r>
      </w:hyperlink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</w:t>
      </w:r>
      <w:r w:rsidR="0074323A"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2023</w:t>
      </w:r>
    </w:p>
    <w:p w14:paraId="100FDD0F" w14:textId="77777777" w:rsidR="00D90288" w:rsidRPr="00B17E28" w:rsidRDefault="00D90288" w:rsidP="00EA1D35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40E12863" w14:textId="47FC8D27" w:rsidR="00124856" w:rsidRPr="00B17E28" w:rsidRDefault="00124856" w:rsidP="003B5AE4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Nioré</w:t>
      </w:r>
      <w:proofErr w:type="spellEnd"/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, V., </w:t>
      </w:r>
      <w:hyperlink r:id="rId68" w:anchor=".ZEVqc-xByuU" w:history="1">
        <w:r w:rsidRPr="00092F6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A propos du renforcement du secret professionnel du conseil dans l’entreprise après le rapport du comité des États généraux de la justice</w:t>
        </w:r>
      </w:hyperlink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Dalloz Actualité, 5. sept. 2022</w:t>
      </w:r>
    </w:p>
    <w:p w14:paraId="314D470E" w14:textId="77777777" w:rsidR="00B17E28" w:rsidRPr="00B17E28" w:rsidRDefault="00B17E28" w:rsidP="00B17E28">
      <w:pPr>
        <w:pStyle w:val="Paragraphedeliste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0B4A0277" w14:textId="29FFF54F" w:rsidR="00B17E28" w:rsidRPr="00B17E28" w:rsidRDefault="00B17E28" w:rsidP="00B17E2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E28">
        <w:rPr>
          <w:rFonts w:ascii="Times New Roman" w:eastAsia="Times New Roman" w:hAnsi="Times New Roman" w:cs="Times New Roman"/>
          <w:sz w:val="24"/>
          <w:szCs w:val="24"/>
        </w:rPr>
        <w:t xml:space="preserve">Perrier, J.-B., </w:t>
      </w:r>
      <w:r w:rsidRPr="00B17E28">
        <w:rPr>
          <w:rFonts w:ascii="Times New Roman" w:hAnsi="Times New Roman" w:cs="Times New Roman"/>
          <w:color w:val="000000"/>
          <w:sz w:val="24"/>
          <w:szCs w:val="24"/>
        </w:rPr>
        <w:t>Négocier et punir,</w:t>
      </w:r>
      <w:r w:rsidRPr="00B17E2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7E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 Mélanges en l'honneur de Frédéric </w:t>
      </w:r>
      <w:proofErr w:type="spellStart"/>
      <w:r w:rsidRPr="00B17E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Stasiak</w:t>
      </w:r>
      <w:proofErr w:type="spellEnd"/>
      <w:r w:rsidRPr="00B17E28">
        <w:rPr>
          <w:rFonts w:ascii="Times New Roman" w:hAnsi="Times New Roman" w:cs="Times New Roman"/>
          <w:color w:val="000000"/>
          <w:sz w:val="24"/>
          <w:szCs w:val="24"/>
        </w:rPr>
        <w:t>, Presses Universitaires de Lorraine, 2023 (à paraître)</w:t>
      </w:r>
    </w:p>
    <w:p w14:paraId="7B4E2C77" w14:textId="77777777" w:rsidR="00124856" w:rsidRPr="00B17E28" w:rsidRDefault="00124856" w:rsidP="00327CEB">
      <w:pPr>
        <w:pStyle w:val="Paragraphedeliste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</w:p>
    <w:p w14:paraId="3F5AF862" w14:textId="2B18065B" w:rsidR="003B5AE4" w:rsidRPr="00B17E28" w:rsidRDefault="0093393E" w:rsidP="003B5AE4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Roda, J.-Ch., </w:t>
      </w:r>
      <w:hyperlink r:id="rId69" w:history="1">
        <w:r w:rsidRPr="00B17E28">
          <w:rPr>
            <w:rFonts w:ascii="Times New Roman" w:eastAsia="Times New Roman" w:hAnsi="Times New Roman" w:cs="Times New Roman"/>
            <w:i/>
            <w:iCs/>
            <w:color w:val="660002"/>
            <w:sz w:val="24"/>
            <w:szCs w:val="24"/>
            <w:lang w:val="fr-FR"/>
          </w:rPr>
          <w:t>Compliance</w:t>
        </w:r>
        <w:r w:rsidRPr="00B17E28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, enquête interne et compétitivité internationale : quels risques pour les entreprises françaises (à la lumière du Droit </w:t>
        </w:r>
        <w:r w:rsidRPr="00B17E28">
          <w:rPr>
            <w:rFonts w:ascii="Times New Roman" w:eastAsia="Times New Roman" w:hAnsi="Times New Roman" w:cs="Times New Roman"/>
            <w:i/>
            <w:iCs/>
            <w:color w:val="660002"/>
            <w:sz w:val="24"/>
            <w:szCs w:val="24"/>
            <w:lang w:val="fr-FR"/>
          </w:rPr>
          <w:t>antitrust</w:t>
        </w:r>
        <w:r w:rsidRPr="00B17E28">
          <w:rPr>
            <w:rFonts w:ascii="Times New Roman" w:eastAsia="Times New Roman" w:hAnsi="Times New Roman" w:cs="Times New Roman"/>
            <w:color w:val="660002"/>
            <w:sz w:val="24"/>
            <w:szCs w:val="24"/>
            <w:lang w:val="fr-FR"/>
          </w:rPr>
          <w:t>) ?</w:t>
        </w:r>
      </w:hyperlink>
      <w:r w:rsidRPr="00B17E28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>, 2022</w:t>
      </w:r>
    </w:p>
    <w:p w14:paraId="0B53391C" w14:textId="77777777" w:rsidR="0080059A" w:rsidRPr="0080059A" w:rsidRDefault="0080059A" w:rsidP="0080059A">
      <w:pPr>
        <w:pStyle w:val="Paragraphedeliste"/>
        <w:rPr>
          <w:rFonts w:ascii="Times New Roman" w:hAnsi="Times New Roman" w:cs="Times New Roman"/>
          <w:color w:val="555555"/>
          <w:sz w:val="24"/>
          <w:szCs w:val="24"/>
        </w:rPr>
      </w:pPr>
    </w:p>
    <w:p w14:paraId="21510767" w14:textId="5F47D109" w:rsidR="0080059A" w:rsidRPr="0080059A" w:rsidRDefault="0080059A" w:rsidP="00016BB7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r w:rsidRPr="0080059A"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  <w:t xml:space="preserve">Russo, E., </w:t>
      </w:r>
    </w:p>
    <w:p w14:paraId="41F0358F" w14:textId="3F98E9BB" w:rsidR="0080059A" w:rsidRPr="0080059A" w:rsidRDefault="0080059A" w:rsidP="0080059A">
      <w:pPr>
        <w:pStyle w:val="Paragraphedeliste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fr-FR"/>
        </w:rPr>
      </w:pPr>
      <w:r w:rsidRPr="0080059A">
        <w:rPr>
          <w:rFonts w:ascii="Times New Roman" w:eastAsia="Times New Roman" w:hAnsi="Times New Roman" w:cs="Times New Roman"/>
          <w:color w:val="212121"/>
          <w:sz w:val="24"/>
          <w:szCs w:val="24"/>
          <w:lang w:val="fr-FR"/>
        </w:rPr>
        <w:t xml:space="preserve">« </w:t>
      </w:r>
      <w:hyperlink r:id="rId70" w:history="1">
        <w:r w:rsidRPr="004A3F5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La responsabilité du dirigeant face aux faits de corruption</w:t>
        </w:r>
      </w:hyperlink>
      <w:r w:rsidRPr="0080059A">
        <w:rPr>
          <w:rFonts w:ascii="Times New Roman" w:eastAsia="Times New Roman" w:hAnsi="Times New Roman" w:cs="Times New Roman"/>
          <w:color w:val="212121"/>
          <w:sz w:val="24"/>
          <w:szCs w:val="24"/>
          <w:lang w:val="fr-FR"/>
        </w:rPr>
        <w:t xml:space="preserve"> » - Revue internationale de la compliance et de l’éthique des affaires – Décembre 2022</w:t>
      </w:r>
    </w:p>
    <w:p w14:paraId="37439587" w14:textId="77777777" w:rsidR="0080059A" w:rsidRPr="0080059A" w:rsidRDefault="0080059A" w:rsidP="0080059A">
      <w:pPr>
        <w:numPr>
          <w:ilvl w:val="1"/>
          <w:numId w:val="2"/>
        </w:numPr>
        <w:rPr>
          <w:color w:val="212121"/>
        </w:rPr>
      </w:pPr>
      <w:r w:rsidRPr="0080059A">
        <w:rPr>
          <w:color w:val="212121"/>
        </w:rPr>
        <w:t>« Lutte contre la corruption : une nouvelle ambition française » - Le Droit comme facteur d’attractivité – L’exemple de la place juridique de Paris-Ile de France – Décembre 2022</w:t>
      </w:r>
    </w:p>
    <w:p w14:paraId="36CC2912" w14:textId="6D368949" w:rsidR="0080059A" w:rsidRPr="0080059A" w:rsidRDefault="0080059A" w:rsidP="0080059A">
      <w:pPr>
        <w:numPr>
          <w:ilvl w:val="1"/>
          <w:numId w:val="2"/>
        </w:numPr>
        <w:rPr>
          <w:color w:val="212121"/>
        </w:rPr>
      </w:pPr>
      <w:r w:rsidRPr="0080059A">
        <w:rPr>
          <w:color w:val="212121"/>
        </w:rPr>
        <w:t>« Corruption : Évaluation de la France par l’OCDE. En progrès, mais peut mieux faire ! », Revue internationale de la compliance et de l’éthique des affaires n°2 – Avril 2022</w:t>
      </w:r>
    </w:p>
    <w:p w14:paraId="515066E3" w14:textId="18C5624A" w:rsidR="0080059A" w:rsidRPr="0080059A" w:rsidRDefault="0080059A" w:rsidP="0080059A">
      <w:pPr>
        <w:numPr>
          <w:ilvl w:val="1"/>
          <w:numId w:val="2"/>
        </w:numPr>
        <w:rPr>
          <w:color w:val="212121"/>
        </w:rPr>
      </w:pPr>
      <w:r w:rsidRPr="0080059A">
        <w:rPr>
          <w:color w:val="212121"/>
        </w:rPr>
        <w:t xml:space="preserve">« Propositions de loi Gauvain. Vers une nouvelle ère de l’anti-corruption en </w:t>
      </w:r>
      <w:r>
        <w:rPr>
          <w:color w:val="212121"/>
        </w:rPr>
        <w:t xml:space="preserve">France </w:t>
      </w:r>
      <w:r w:rsidRPr="0080059A">
        <w:rPr>
          <w:color w:val="212121"/>
        </w:rPr>
        <w:t>? – Revue internationale de la compliance et de l’éthique des affaires - n°1 – Février 2022</w:t>
      </w:r>
    </w:p>
    <w:p w14:paraId="1487FA05" w14:textId="6758615C" w:rsidR="0080059A" w:rsidRPr="0080059A" w:rsidRDefault="0080059A" w:rsidP="0080059A">
      <w:pPr>
        <w:numPr>
          <w:ilvl w:val="1"/>
          <w:numId w:val="2"/>
        </w:numPr>
        <w:rPr>
          <w:color w:val="212121"/>
        </w:rPr>
      </w:pPr>
      <w:r w:rsidRPr="0080059A">
        <w:rPr>
          <w:color w:val="212121"/>
        </w:rPr>
        <w:t>« Corruption internationale : l’étau se resserre de plus en plus autour des entreprises » - Revue internationale de la compliance et de l’éthique des affaires – n°5 – octobre 2021 </w:t>
      </w:r>
    </w:p>
    <w:p w14:paraId="3F8F4657" w14:textId="77777777" w:rsidR="0080059A" w:rsidRPr="0080059A" w:rsidRDefault="0080059A" w:rsidP="0080059A">
      <w:pPr>
        <w:numPr>
          <w:ilvl w:val="1"/>
          <w:numId w:val="2"/>
        </w:numPr>
        <w:rPr>
          <w:color w:val="212121"/>
        </w:rPr>
      </w:pPr>
      <w:r w:rsidRPr="0080059A">
        <w:rPr>
          <w:color w:val="212121"/>
        </w:rPr>
        <w:t>CJIP : ajustements apportés par la loi du 24 décembre 2020 et autres sujets de réflexion pour l’avenir – AJ Pénal – Février 2021</w:t>
      </w:r>
    </w:p>
    <w:p w14:paraId="538C0984" w14:textId="77777777" w:rsidR="0080059A" w:rsidRDefault="0080059A" w:rsidP="0080059A">
      <w:pPr>
        <w:shd w:val="clear" w:color="auto" w:fill="FFFFFF"/>
        <w:spacing w:after="150"/>
        <w:rPr>
          <w:color w:val="323232"/>
        </w:rPr>
      </w:pPr>
    </w:p>
    <w:p w14:paraId="3194F490" w14:textId="74B365B0" w:rsidR="00016BB7" w:rsidRPr="00B17E28" w:rsidRDefault="00016BB7" w:rsidP="00016BB7">
      <w:pPr>
        <w:pStyle w:val="Paragraphedeliste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val="fr-FR"/>
        </w:rPr>
      </w:pPr>
      <w:proofErr w:type="spellStart"/>
      <w:r w:rsidRPr="00B17E28">
        <w:rPr>
          <w:rFonts w:ascii="Times New Roman" w:hAnsi="Times New Roman" w:cs="Times New Roman"/>
          <w:color w:val="555555"/>
          <w:sz w:val="24"/>
          <w:szCs w:val="24"/>
        </w:rPr>
        <w:t>Scemla</w:t>
      </w:r>
      <w:proofErr w:type="spellEnd"/>
      <w:r w:rsidRPr="00B17E28">
        <w:rPr>
          <w:rFonts w:ascii="Times New Roman" w:hAnsi="Times New Roman" w:cs="Times New Roman"/>
          <w:color w:val="555555"/>
          <w:sz w:val="24"/>
          <w:szCs w:val="24"/>
        </w:rPr>
        <w:t>, S. et D. Paillot, D., </w:t>
      </w:r>
      <w:hyperlink r:id="rId71" w:history="1">
        <w:r w:rsidRPr="00B17E28">
          <w:rPr>
            <w:rStyle w:val="Lienhypertexte"/>
            <w:rFonts w:ascii="Times New Roman" w:hAnsi="Times New Roman" w:cs="Times New Roman"/>
            <w:color w:val="660002"/>
            <w:sz w:val="24"/>
            <w:szCs w:val="24"/>
          </w:rPr>
          <w:t>La difficile appréhension des droits de la défense par les autorités de contrôle en matière de compliance</w:t>
        </w:r>
      </w:hyperlink>
      <w:r w:rsidRPr="00B17E28">
        <w:rPr>
          <w:rFonts w:ascii="Times New Roman" w:hAnsi="Times New Roman" w:cs="Times New Roman"/>
          <w:color w:val="555555"/>
          <w:sz w:val="24"/>
          <w:szCs w:val="24"/>
        </w:rPr>
        <w:t>, 2023</w:t>
      </w:r>
    </w:p>
    <w:p w14:paraId="1222AC3D" w14:textId="70EAF1A4" w:rsidR="00016BB7" w:rsidRPr="00B668F2" w:rsidRDefault="00016BB7" w:rsidP="00016BB7">
      <w:pPr>
        <w:pStyle w:val="NormalWeb"/>
        <w:numPr>
          <w:ilvl w:val="0"/>
          <w:numId w:val="2"/>
        </w:numPr>
        <w:spacing w:before="0" w:beforeAutospacing="0" w:after="150" w:afterAutospacing="0"/>
        <w:rPr>
          <w:color w:val="555555"/>
        </w:rPr>
      </w:pPr>
      <w:proofErr w:type="spellStart"/>
      <w:r w:rsidRPr="00B17E28">
        <w:rPr>
          <w:color w:val="555555"/>
        </w:rPr>
        <w:t>Sillaman</w:t>
      </w:r>
      <w:proofErr w:type="spellEnd"/>
      <w:r w:rsidRPr="00B17E28">
        <w:rPr>
          <w:color w:val="555555"/>
        </w:rPr>
        <w:t>, B. </w:t>
      </w:r>
      <w:hyperlink r:id="rId72" w:history="1">
        <w:r w:rsidRPr="00B17E28">
          <w:rPr>
            <w:rStyle w:val="Lienhypertexte"/>
            <w:color w:val="660002"/>
          </w:rPr>
          <w:t>Secret professionnel et coopération : les leçons de procédure tirées de l’expérience américaine pour une application universelle</w:t>
        </w:r>
      </w:hyperlink>
      <w:r w:rsidR="001554F9">
        <w:rPr>
          <w:color w:val="555555"/>
        </w:rPr>
        <w:t>, 2023</w:t>
      </w:r>
    </w:p>
    <w:p w14:paraId="0AF4E6D1" w14:textId="5700ABFC" w:rsidR="002B018C" w:rsidRPr="001B3704" w:rsidRDefault="0015377C" w:rsidP="001B3704">
      <w:pPr>
        <w:pStyle w:val="NormalWeb"/>
        <w:numPr>
          <w:ilvl w:val="0"/>
          <w:numId w:val="2"/>
        </w:numPr>
        <w:spacing w:before="0" w:beforeAutospacing="0" w:after="150" w:afterAutospacing="0"/>
        <w:rPr>
          <w:color w:val="555555"/>
        </w:rPr>
      </w:pPr>
      <w:proofErr w:type="spellStart"/>
      <w:r w:rsidRPr="00B668F2">
        <w:rPr>
          <w:color w:val="555555"/>
        </w:rPr>
        <w:t>Wennerström</w:t>
      </w:r>
      <w:proofErr w:type="spellEnd"/>
      <w:r w:rsidRPr="00B668F2">
        <w:rPr>
          <w:color w:val="555555"/>
        </w:rPr>
        <w:t>, E., </w:t>
      </w:r>
      <w:hyperlink r:id="rId73" w:history="1">
        <w:r w:rsidRPr="00B668F2">
          <w:rPr>
            <w:rStyle w:val="Lienhypertexte"/>
            <w:color w:val="660002"/>
          </w:rPr>
          <w:t>Quelques réflexions sur la Compliance et la Cour européenne des droits de l'Homme</w:t>
        </w:r>
      </w:hyperlink>
      <w:r w:rsidRPr="00B668F2">
        <w:rPr>
          <w:color w:val="555555"/>
        </w:rPr>
        <w:t>, 2023</w:t>
      </w:r>
    </w:p>
    <w:p w14:paraId="4EF57F1A" w14:textId="77777777" w:rsidR="000979D7" w:rsidRDefault="000979D7" w:rsidP="00440B90">
      <w:pPr>
        <w:jc w:val="both"/>
      </w:pPr>
    </w:p>
    <w:sectPr w:rsidR="000979D7" w:rsidSect="00802139">
      <w:footerReference w:type="default" r:id="rId74"/>
      <w:pgSz w:w="11909" w:h="16834"/>
      <w:pgMar w:top="1440" w:right="1440" w:bottom="113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257C" w14:textId="77777777" w:rsidR="00B81303" w:rsidRDefault="00B81303" w:rsidP="00B668F2">
      <w:r>
        <w:separator/>
      </w:r>
    </w:p>
  </w:endnote>
  <w:endnote w:type="continuationSeparator" w:id="0">
    <w:p w14:paraId="101EA452" w14:textId="77777777" w:rsidR="00B81303" w:rsidRDefault="00B81303" w:rsidP="00B6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855881"/>
      <w:docPartObj>
        <w:docPartGallery w:val="Page Numbers (Bottom of Page)"/>
        <w:docPartUnique/>
      </w:docPartObj>
    </w:sdtPr>
    <w:sdtContent>
      <w:p w14:paraId="237567E4" w14:textId="7AB574D2" w:rsidR="00B668F2" w:rsidRDefault="00B668F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71AEFA9" w14:textId="77777777" w:rsidR="00B668F2" w:rsidRDefault="00B66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F358" w14:textId="77777777" w:rsidR="00B81303" w:rsidRDefault="00B81303" w:rsidP="00B668F2">
      <w:r>
        <w:separator/>
      </w:r>
    </w:p>
  </w:footnote>
  <w:footnote w:type="continuationSeparator" w:id="0">
    <w:p w14:paraId="67B98FAE" w14:textId="77777777" w:rsidR="00B81303" w:rsidRDefault="00B81303" w:rsidP="00B6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0DF"/>
    <w:multiLevelType w:val="hybridMultilevel"/>
    <w:tmpl w:val="008C3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DD7"/>
    <w:multiLevelType w:val="multilevel"/>
    <w:tmpl w:val="413E4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B005FC"/>
    <w:multiLevelType w:val="multilevel"/>
    <w:tmpl w:val="758875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13722C"/>
    <w:multiLevelType w:val="multilevel"/>
    <w:tmpl w:val="9D4AAA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A7648C"/>
    <w:multiLevelType w:val="multilevel"/>
    <w:tmpl w:val="4E34A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D74012"/>
    <w:multiLevelType w:val="multilevel"/>
    <w:tmpl w:val="5D0C164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948E1"/>
    <w:multiLevelType w:val="multilevel"/>
    <w:tmpl w:val="47B6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205829">
    <w:abstractNumId w:val="4"/>
  </w:num>
  <w:num w:numId="2" w16cid:durableId="1317494882">
    <w:abstractNumId w:val="5"/>
  </w:num>
  <w:num w:numId="3" w16cid:durableId="1444692252">
    <w:abstractNumId w:val="2"/>
  </w:num>
  <w:num w:numId="4" w16cid:durableId="168375751">
    <w:abstractNumId w:val="3"/>
  </w:num>
  <w:num w:numId="5" w16cid:durableId="1686204745">
    <w:abstractNumId w:val="1"/>
  </w:num>
  <w:num w:numId="6" w16cid:durableId="72822444">
    <w:abstractNumId w:val="6"/>
  </w:num>
  <w:num w:numId="7" w16cid:durableId="151645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FB"/>
    <w:rsid w:val="00016BB7"/>
    <w:rsid w:val="00092F64"/>
    <w:rsid w:val="000979D7"/>
    <w:rsid w:val="000E595D"/>
    <w:rsid w:val="000F1162"/>
    <w:rsid w:val="0010629E"/>
    <w:rsid w:val="001153F5"/>
    <w:rsid w:val="00124856"/>
    <w:rsid w:val="0015377C"/>
    <w:rsid w:val="001554F9"/>
    <w:rsid w:val="001649F6"/>
    <w:rsid w:val="00165E25"/>
    <w:rsid w:val="001A2176"/>
    <w:rsid w:val="001B3704"/>
    <w:rsid w:val="001D72AB"/>
    <w:rsid w:val="001F1AFB"/>
    <w:rsid w:val="001F61DE"/>
    <w:rsid w:val="00265AD9"/>
    <w:rsid w:val="002B018C"/>
    <w:rsid w:val="002C7CD5"/>
    <w:rsid w:val="003069C8"/>
    <w:rsid w:val="00327CEB"/>
    <w:rsid w:val="00377730"/>
    <w:rsid w:val="003868EF"/>
    <w:rsid w:val="003A2BF3"/>
    <w:rsid w:val="003B27D0"/>
    <w:rsid w:val="003B5AE4"/>
    <w:rsid w:val="00437228"/>
    <w:rsid w:val="00440B90"/>
    <w:rsid w:val="00450040"/>
    <w:rsid w:val="00470AB1"/>
    <w:rsid w:val="00473C39"/>
    <w:rsid w:val="004A3F5D"/>
    <w:rsid w:val="004B03D3"/>
    <w:rsid w:val="004B2A6C"/>
    <w:rsid w:val="004D1856"/>
    <w:rsid w:val="004D2BD4"/>
    <w:rsid w:val="004D39C5"/>
    <w:rsid w:val="004F2DF7"/>
    <w:rsid w:val="00541A46"/>
    <w:rsid w:val="005448D9"/>
    <w:rsid w:val="00562ACE"/>
    <w:rsid w:val="005D12DD"/>
    <w:rsid w:val="005E630A"/>
    <w:rsid w:val="0061213A"/>
    <w:rsid w:val="00616793"/>
    <w:rsid w:val="00647641"/>
    <w:rsid w:val="00673116"/>
    <w:rsid w:val="006910C0"/>
    <w:rsid w:val="0074323A"/>
    <w:rsid w:val="00756EAA"/>
    <w:rsid w:val="0077340F"/>
    <w:rsid w:val="007D009A"/>
    <w:rsid w:val="007F599B"/>
    <w:rsid w:val="0080059A"/>
    <w:rsid w:val="00802139"/>
    <w:rsid w:val="008148D0"/>
    <w:rsid w:val="008201FD"/>
    <w:rsid w:val="00870723"/>
    <w:rsid w:val="00892340"/>
    <w:rsid w:val="0093393E"/>
    <w:rsid w:val="00961126"/>
    <w:rsid w:val="00963874"/>
    <w:rsid w:val="00970213"/>
    <w:rsid w:val="009A749D"/>
    <w:rsid w:val="009D0EE7"/>
    <w:rsid w:val="009E7373"/>
    <w:rsid w:val="00A04D18"/>
    <w:rsid w:val="00A23FF3"/>
    <w:rsid w:val="00A544EF"/>
    <w:rsid w:val="00A61F9C"/>
    <w:rsid w:val="00A73799"/>
    <w:rsid w:val="00AA3055"/>
    <w:rsid w:val="00B17E28"/>
    <w:rsid w:val="00B472C4"/>
    <w:rsid w:val="00B668F2"/>
    <w:rsid w:val="00B81303"/>
    <w:rsid w:val="00BB0869"/>
    <w:rsid w:val="00BB3D33"/>
    <w:rsid w:val="00C2181F"/>
    <w:rsid w:val="00C86190"/>
    <w:rsid w:val="00CA275A"/>
    <w:rsid w:val="00CA304D"/>
    <w:rsid w:val="00D27517"/>
    <w:rsid w:val="00D90288"/>
    <w:rsid w:val="00E03B72"/>
    <w:rsid w:val="00E42769"/>
    <w:rsid w:val="00E5152B"/>
    <w:rsid w:val="00EA1D35"/>
    <w:rsid w:val="00EF20B6"/>
    <w:rsid w:val="00F2087C"/>
    <w:rsid w:val="00F43173"/>
    <w:rsid w:val="00F60F06"/>
    <w:rsid w:val="00F85956"/>
    <w:rsid w:val="00F861D1"/>
    <w:rsid w:val="00FD5381"/>
    <w:rsid w:val="00FE146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85E9"/>
  <w15:docId w15:val="{CD5D94C3-8CBB-7B41-98AA-02728D4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/>
    </w:rPr>
  </w:style>
  <w:style w:type="paragraph" w:styleId="NormalWeb">
    <w:name w:val="Normal (Web)"/>
    <w:basedOn w:val="Normal"/>
    <w:uiPriority w:val="99"/>
    <w:unhideWhenUsed/>
    <w:rsid w:val="002B018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B018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B018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B018C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3393E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93393E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93393E"/>
    <w:rPr>
      <w:i/>
      <w:iCs/>
    </w:rPr>
  </w:style>
  <w:style w:type="paragraph" w:styleId="Paragraphedeliste">
    <w:name w:val="List Paragraph"/>
    <w:basedOn w:val="Normal"/>
    <w:uiPriority w:val="34"/>
    <w:qFormat/>
    <w:rsid w:val="0093393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fr"/>
    </w:rPr>
  </w:style>
  <w:style w:type="paragraph" w:styleId="En-tte">
    <w:name w:val="header"/>
    <w:basedOn w:val="Normal"/>
    <w:link w:val="En-tteCar"/>
    <w:uiPriority w:val="99"/>
    <w:unhideWhenUsed/>
    <w:rsid w:val="00B668F2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En-tteCar">
    <w:name w:val="En-tête Car"/>
    <w:basedOn w:val="Policepardfaut"/>
    <w:link w:val="En-tte"/>
    <w:uiPriority w:val="99"/>
    <w:rsid w:val="00B668F2"/>
  </w:style>
  <w:style w:type="paragraph" w:styleId="Pieddepage">
    <w:name w:val="footer"/>
    <w:basedOn w:val="Normal"/>
    <w:link w:val="PieddepageCar"/>
    <w:uiPriority w:val="99"/>
    <w:unhideWhenUsed/>
    <w:rsid w:val="00B668F2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PieddepageCar">
    <w:name w:val="Pied de page Car"/>
    <w:basedOn w:val="Policepardfaut"/>
    <w:link w:val="Pieddepage"/>
    <w:uiPriority w:val="99"/>
    <w:rsid w:val="00B668F2"/>
  </w:style>
  <w:style w:type="paragraph" w:styleId="Rvision">
    <w:name w:val="Revision"/>
    <w:hidden/>
    <w:uiPriority w:val="99"/>
    <w:semiHidden/>
    <w:rsid w:val="00BB0869"/>
    <w:pPr>
      <w:spacing w:line="240" w:lineRule="auto"/>
    </w:pPr>
  </w:style>
  <w:style w:type="character" w:customStyle="1" w:styleId="apple-converted-space">
    <w:name w:val="apple-converted-space"/>
    <w:basedOn w:val="Policepardfaut"/>
    <w:rsid w:val="00B17E28"/>
  </w:style>
  <w:style w:type="paragraph" w:styleId="Corpsdetexte">
    <w:name w:val="Body Text"/>
    <w:basedOn w:val="Normal"/>
    <w:link w:val="CorpsdetexteCar"/>
    <w:uiPriority w:val="1"/>
    <w:qFormat/>
    <w:rsid w:val="00470AB1"/>
    <w:pPr>
      <w:autoSpaceDE w:val="0"/>
      <w:autoSpaceDN w:val="0"/>
      <w:adjustRightInd w:val="0"/>
      <w:ind w:left="39"/>
    </w:pPr>
    <w:rPr>
      <w:rFonts w:ascii="Arial" w:eastAsia="Arial" w:hAnsi="Arial" w:cs="Arial"/>
      <w:sz w:val="13"/>
      <w:szCs w:val="13"/>
    </w:rPr>
  </w:style>
  <w:style w:type="character" w:customStyle="1" w:styleId="CorpsdetexteCar">
    <w:name w:val="Corps de texte Car"/>
    <w:basedOn w:val="Policepardfaut"/>
    <w:link w:val="Corpsdetexte"/>
    <w:uiPriority w:val="1"/>
    <w:rsid w:val="00470AB1"/>
    <w:rPr>
      <w:sz w:val="13"/>
      <w:szCs w:val="13"/>
      <w:lang w:val="fr-FR"/>
    </w:rPr>
  </w:style>
  <w:style w:type="character" w:customStyle="1" w:styleId="field-content">
    <w:name w:val="field-content"/>
    <w:basedOn w:val="Policepardfaut"/>
    <w:rsid w:val="001D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fr.fr/fr/article/droit-penal-et-compliance-font-ils-systeme-in-fris/" TargetMode="External"/><Relationship Id="rId21" Type="http://schemas.openxmlformats.org/officeDocument/2006/relationships/hyperlink" Target="https://mafr.fr/fr/article/la-compliance-ou-le-passage-de-lex-post-a-lex-ante/" TargetMode="External"/><Relationship Id="rId42" Type="http://schemas.openxmlformats.org/officeDocument/2006/relationships/hyperlink" Target="https://www.lexis360intelligence.fr/fiches-pratiques/document/FP_FP-528968_0KT0?q=-Durand-Poincloux,%20M.,%20Transiger%20en%20mati%C3%A8re%20p%C3%A9nale&amp;doc_type=pratique&amp;sort=score&amp;from=0&amp;to=1682270714226" TargetMode="External"/><Relationship Id="rId47" Type="http://schemas.openxmlformats.org/officeDocument/2006/relationships/hyperlink" Target="https://mafr.fr/fr/article/e-jugeant-juge-articuler-les-mots-et-les-choses-fa/" TargetMode="External"/><Relationship Id="rId63" Type="http://schemas.openxmlformats.org/officeDocument/2006/relationships/hyperlink" Target="https://esprit.presse.fr/article/astrid-mignon-colombet/les-progres-de-la-justice-penale-negociee-44569" TargetMode="External"/><Relationship Id="rId68" Type="http://schemas.openxmlformats.org/officeDocument/2006/relationships/hyperlink" Target="https://www.dalloz-actualite.fr/node/propos-du-renforcement-du-secret-professionnel-du-conseil-dans-l-entreprise-apres-rapport-du-co" TargetMode="External"/><Relationship Id="rId2" Type="http://schemas.openxmlformats.org/officeDocument/2006/relationships/styles" Target="styles.xml"/><Relationship Id="rId16" Type="http://schemas.openxmlformats.org/officeDocument/2006/relationships/hyperlink" Target="chrome-extension://efaidnbmnnnibpcajpcglclefindmkaj/https:/www.tribunal-de-paris.justice.fr/sites/default/files/2023-01/Lignes%20directrices%20sur%20la%20mise%20en%20oeuvre%20de%20la%20convention%20judiciaire%20d%27int%C3%A9r%C3%AAt%20public%20PNF%20version%20sign%C3%A9e.pdf" TargetMode="External"/><Relationship Id="rId29" Type="http://schemas.openxmlformats.org/officeDocument/2006/relationships/hyperlink" Target="https://www.labase-lextenso.fr/gazette-du-palais/GPL430i6" TargetMode="External"/><Relationship Id="rId11" Type="http://schemas.openxmlformats.org/officeDocument/2006/relationships/hyperlink" Target="https://mafr.fr/fr/article/les-outils-de-la-compliance/" TargetMode="External"/><Relationship Id="rId24" Type="http://schemas.openxmlformats.org/officeDocument/2006/relationships/hyperlink" Target="https://www.lexis360intelligence.fr/revues/Revue_internationale_de_la_compliance_et_de_l'%C3%A9thique_des_affaires/PNO_RINTETHAFF/document/PS_KPRE-609292_0RWC?q=Baudesson%60&amp;doc_type=doctrine_revue&amp;sort=score&amp;from=0&amp;to=1682502122761" TargetMode="External"/><Relationship Id="rId32" Type="http://schemas.openxmlformats.org/officeDocument/2006/relationships/hyperlink" Target="https://actu.dalloz-etudiant.fr/focus-sur/article/avocat-et-droits-de-la-defense-dans-les-enquetes-internes-et-la-justice-negociee/h/7ff897e0f78b5fb1e73e326d70cb7c1e.html" TargetMode="External"/><Relationship Id="rId37" Type="http://schemas.openxmlformats.org/officeDocument/2006/relationships/hyperlink" Target="https://www.dechert.com/knowledge/onpoint/2023/2/Les-temps-changent---nouveau-en-France---le-Parquet-national-financier-publie-de-nouvelles-lignes-directrices-.html" TargetMode="External"/><Relationship Id="rId40" Type="http://schemas.openxmlformats.org/officeDocument/2006/relationships/hyperlink" Target="http://mafr.fr/fr/article/la-loi-sapin-2-un-defi-pour-les-avocats/" TargetMode="External"/><Relationship Id="rId45" Type="http://schemas.openxmlformats.org/officeDocument/2006/relationships/hyperlink" Target="https://www.cairn.info/revue-deliberee-2022-2-page-47.htm" TargetMode="External"/><Relationship Id="rId53" Type="http://schemas.openxmlformats.org/officeDocument/2006/relationships/hyperlink" Target="https://www.lexis360intelligence.fr/revues/Cahiers_de_droit_de_l'entreprise/PNO_RCADE3/document/PS_KPRE-643079_0KT6?q=meziani%20le%20r%C3%B4le&amp;doc_type=doctrine_revue&amp;sort=score&amp;from=0&amp;to=1682577260355" TargetMode="External"/><Relationship Id="rId58" Type="http://schemas.openxmlformats.org/officeDocument/2006/relationships/hyperlink" Target="https://www.labase-lextenso.fr/gazette-du-palais/GPL448s9" TargetMode="External"/><Relationship Id="rId66" Type="http://schemas.openxmlformats.org/officeDocument/2006/relationships/hyperlink" Target="http://mafr.fr/fr/article/la-dynamique-des-programmes-de-conformite-des-entr/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village-justice.com/articles/valeur-probante-enquete-interne-harcelement-moral-sexuel-travail-devant-conseil,42105.html" TargetMode="External"/><Relationship Id="rId19" Type="http://schemas.openxmlformats.org/officeDocument/2006/relationships/hyperlink" Target="https://www.lemondedudroit.fr/publications/248-etudes-et-documents/74196-enquete-interne-defense-penale-collectif-avocats-publie-rapport-en-faveur-protection-salaries-dirigeants.html" TargetMode="External"/><Relationship Id="rId14" Type="http://schemas.openxmlformats.org/officeDocument/2006/relationships/hyperlink" Target="https://www.avocatparis.org/conseil-de-l-ordre/annexe-xxiv-vademecum-de-lavocat-charge-dune-enquete-interne-0" TargetMode="External"/><Relationship Id="rId22" Type="http://schemas.openxmlformats.org/officeDocument/2006/relationships/hyperlink" Target="http://mafr.fr/fr/article/la-convention-judiciaire-dinteret-public-ou-la-com/" TargetMode="External"/><Relationship Id="rId27" Type="http://schemas.openxmlformats.org/officeDocument/2006/relationships/hyperlink" Target="https://mafr.fr/fr/article/droit-penal-et-compliance-font-ils-systeme-in-fris/" TargetMode="External"/><Relationship Id="rId30" Type="http://schemas.openxmlformats.org/officeDocument/2006/relationships/hyperlink" Target="https://www.labase-lextenso.fr/gazette-du-palais/GPL448s8" TargetMode="External"/><Relationship Id="rId35" Type="http://schemas.openxmlformats.org/officeDocument/2006/relationships/hyperlink" Target="https://mafr.fr/fr/article/des-principes-processuels-en-droit-de-la-complianc/" TargetMode="External"/><Relationship Id="rId43" Type="http://schemas.openxmlformats.org/officeDocument/2006/relationships/hyperlink" Target="https://www.lexis360.fr/Docview.aspx?&amp;tsid=docview1_&amp;citationData=%7b%22citationId%22:%22PS_SJG_202316SOMMAIREPS_2_0KTZS24%22,%22title%22:%22525%22,%22docId%22:%22PS_SJG_202316SOMMAIREPS_2_0KTZ%22%7d" TargetMode="External"/><Relationship Id="rId48" Type="http://schemas.openxmlformats.org/officeDocument/2006/relationships/hyperlink" Target="https://mafr.fr/fr/article/les-outils-de-la-compliance-au-crible-du-droit-pro/" TargetMode="External"/><Relationship Id="rId56" Type="http://schemas.openxmlformats.org/officeDocument/2006/relationships/hyperlink" Target="https://mafr.fr/fr/article/la-facon-dont-lentreprise-fonctionne-pour-concreti/" TargetMode="External"/><Relationship Id="rId64" Type="http://schemas.openxmlformats.org/officeDocument/2006/relationships/hyperlink" Target="https://www.lexis360intelligence.fr/revues/La_Semaine_Juridique_-_%C3%A9dition_G%C3%A9n%C3%A9rale_(JCP_G)/PNO_RJCPG/document/PS_KPRE-648897_0KTZ?q=-La%20convention%20judiciaire%20d%E2%80%99int%C3%A9r%C3%AAt%20public%20europ%C3%A9enne%20:%20espoir%20ou%20r%C3%A9alit%C3%A9%20?&amp;doc_type=doctrine_revue&amp;sort=score&amp;from=0&amp;to=1682526182730" TargetMode="External"/><Relationship Id="rId69" Type="http://schemas.openxmlformats.org/officeDocument/2006/relationships/hyperlink" Target="https://mafr.fr/fr/article/compliance-enquete-interne-et-competitivite-intern/" TargetMode="External"/><Relationship Id="rId8" Type="http://schemas.openxmlformats.org/officeDocument/2006/relationships/hyperlink" Target="https://mafr.fr/fr/article/compliance-nouveau-paradigme-pour-lavocat/" TargetMode="External"/><Relationship Id="rId51" Type="http://schemas.openxmlformats.org/officeDocument/2006/relationships/hyperlink" Target="https://www.lexis360intelligence.fr/revues/Revue_internationale_de_la_compliance_et_de_l'%C3%A9thique_des_affaires/PNO_RINTETHAFF/document/PS_KPRE-648513_0RWC?q=%20kami%20haeri&amp;doc_type=doctrine_revue&amp;offset=10&amp;sort=document_date&amp;from=0&amp;to=1682575970380" TargetMode="External"/><Relationship Id="rId72" Type="http://schemas.openxmlformats.org/officeDocument/2006/relationships/hyperlink" Target="https://mafr.fr/fr/article/secret-professionnel-et-cooperation-les-lecons-de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gdj-editions.fr/livres/pratique-de-defense-penale/9782275131276" TargetMode="External"/><Relationship Id="rId17" Type="http://schemas.openxmlformats.org/officeDocument/2006/relationships/hyperlink" Target="https://ledroitouvrier.cgt.fr/" TargetMode="External"/><Relationship Id="rId25" Type="http://schemas.openxmlformats.org/officeDocument/2006/relationships/hyperlink" Target="https://mafr.fr/fr/article/le-faconnage-de-lentreprise-par-les-accords-de-jus/" TargetMode="External"/><Relationship Id="rId33" Type="http://schemas.openxmlformats.org/officeDocument/2006/relationships/hyperlink" Target="https://vigo-avocats.com/legal-news/aj-penal-lavocat-en-charge-dune-enquete-interne-enjeux-deontologiques/" TargetMode="External"/><Relationship Id="rId38" Type="http://schemas.openxmlformats.org/officeDocument/2006/relationships/hyperlink" Target="https://iclg.com/practice-areas/corporate-investigations-laws-and-regulations/01-cross-border-investigations-navigating-international-requirements" TargetMode="External"/><Relationship Id="rId46" Type="http://schemas.openxmlformats.org/officeDocument/2006/relationships/hyperlink" Target="https://mafr.fr/fr/article/ne-jamais-exclure-juges-et-avocats-de-la-complianc/" TargetMode="External"/><Relationship Id="rId59" Type="http://schemas.openxmlformats.org/officeDocument/2006/relationships/hyperlink" Target="https://mafr.fr/fr/article/les-enquetes-internes-au-sein-des-entreprises-in-f/" TargetMode="External"/><Relationship Id="rId67" Type="http://schemas.openxmlformats.org/officeDocument/2006/relationships/hyperlink" Target="chrome-extension://efaidnbmnnnibpcajpcglclefindmkaj/https:/navacelle.law/wp-content/uploads/2023/01/Navacelle-GIR_Guide-du-praticien-des-enquetes-internationales-7e-edition_France.pdf" TargetMode="External"/><Relationship Id="rId20" Type="http://schemas.openxmlformats.org/officeDocument/2006/relationships/hyperlink" Target="https://www.dalloz-actualite.fr/node/un-avocat-qui-participe-une-enquete-interne-reste-un-avocat" TargetMode="External"/><Relationship Id="rId41" Type="http://schemas.openxmlformats.org/officeDocument/2006/relationships/hyperlink" Target="https://www.lexis360intelligence.fr/revues/La_Semaine_Juridique_-_Social_(JCP_S)/PNO_RJCPS/document/PS_KPRE-640718_0KU2?q=-Doudet,%20R.%20L%E2%80%99avocat-enqu%C3%AAteur%20en%20mati%C3%A8re%20de%20harc%C3%A8lement%20moral%20&amp;doc_type=doctrine_revue&amp;sort=score&amp;from=0&amp;to=1682270637734" TargetMode="External"/><Relationship Id="rId54" Type="http://schemas.openxmlformats.org/officeDocument/2006/relationships/hyperlink" Target="https://mafr.fr/fr/article/la-construction-de-lexpertise-de-lavocat-en-matier/" TargetMode="External"/><Relationship Id="rId62" Type="http://schemas.openxmlformats.org/officeDocument/2006/relationships/hyperlink" Target="https://mafr.fr/fr/article/la-morale-by-design/" TargetMode="External"/><Relationship Id="rId70" Type="http://schemas.openxmlformats.org/officeDocument/2006/relationships/hyperlink" Target="https://www.lexis360intelligence.fr/revues/Revue_internationale_de_la_compliance_et_de_l'%C3%A9thique_des_affaires/PNO_RINTETHAFF/document/PS_KPRE-648511_0RWC?q=eric%20russo&amp;doc_type=doctrine_revue&amp;typeDoc=Revues&amp;sort=document_date&amp;from=0&amp;to=1682577301259&amp;source=navigation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gence-francaise-anticorruption.gouv.fr/fr/lafa-et-pnf-publient-guide-relatif-aux-enquetes-internes-anticorruption" TargetMode="External"/><Relationship Id="rId23" Type="http://schemas.openxmlformats.org/officeDocument/2006/relationships/hyperlink" Target="https://www.lexis360intelligence.fr/revues/Droit_p%C3%A9nal/PNO_RPEN/document/PS_KPRE-628153_0KTO?q=Le%20nouvel%20article%2056-1-2%20du%20Code%20de%20proc%C3%A9dure%20p%C3%A9nale%20ou%20l%27introduction%20discr%C3%A8te%20en%20droit%20fran%C3%A7ais%20de%20la%20crime-fraud%20exception%20am%C3%A9ricaine,%20mais%20sans%20les%20garanties%20qui%20l%27accompagnent&amp;doc_type=doctrine_revue&amp;sort=score&amp;from=0&amp;to=1682270759580" TargetMode="External"/><Relationship Id="rId28" Type="http://schemas.openxmlformats.org/officeDocument/2006/relationships/hyperlink" Target="https://www.lexbase.fr/article-juridique/73266642-cite-dans-la-rubrique-bavocats-deontologie-b-titre-nbsp-ile-secret-des-confidences-entre-un-avocat-e" TargetMode="External"/><Relationship Id="rId36" Type="http://schemas.openxmlformats.org/officeDocument/2006/relationships/hyperlink" Target="https://www.lexis360intelligence.fr/revues/Cahiers_de_droit_de_l'entreprise/PNO_RCADE3/document/PS_KPRE-643082_0KT6?q=meziani&amp;doc_type=doctrine_revue&amp;sort=score&amp;from=0&amp;to=1682577180022" TargetMode="External"/><Relationship Id="rId49" Type="http://schemas.openxmlformats.org/officeDocument/2006/relationships/hyperlink" Target="https://mafr.fr/fr/article/prolegomenes-pour-le-systeme-probatoire-du-droit-d/" TargetMode="External"/><Relationship Id="rId57" Type="http://schemas.openxmlformats.org/officeDocument/2006/relationships/hyperlink" Target="https://mafr.fr/fr/article/nouvelles-directives-du-pnf-sur-la-cjip-des-clarif/" TargetMode="External"/><Relationship Id="rId10" Type="http://schemas.openxmlformats.org/officeDocument/2006/relationships/hyperlink" Target="https://mafr.fr/fr/article/les-buts-monumentaux-de-la-compliance/" TargetMode="External"/><Relationship Id="rId31" Type="http://schemas.openxmlformats.org/officeDocument/2006/relationships/hyperlink" Target="https://www.actu-juridique.fr/droit-de-la-regulation/colloque-avocat-et-droits-de-la-defense-dans-les-enquetes-internes-et-la-justice-negociee/" TargetMode="External"/><Relationship Id="rId44" Type="http://schemas.openxmlformats.org/officeDocument/2006/relationships/hyperlink" Target="https://mafr.fr/fr/article/criminal-compliance-les-risques-dun-droit-penal-du/" TargetMode="External"/><Relationship Id="rId52" Type="http://schemas.openxmlformats.org/officeDocument/2006/relationships/hyperlink" Target="http://mafr.fr/fr/article/la-compliance-entre-extra-judiciaire-et-emergence-/" TargetMode="External"/><Relationship Id="rId60" Type="http://schemas.openxmlformats.org/officeDocument/2006/relationships/hyperlink" Target="https://mafr.fr/fr/article/la-facon-dont-lentreprise-fonctionne-pour-concreti/" TargetMode="External"/><Relationship Id="rId65" Type="http://schemas.openxmlformats.org/officeDocument/2006/relationships/hyperlink" Target="https://www.lexis360intelligence.fr/revues/Revue_internationale_de_la_compliance_et_de_l'%C3%A9thique_des_affaires/PNO_RINTETHAFF/document/PS_KPRE-612966_0RWC?q=mignon%20colombet%60&amp;doc_type=doctrine_revue&amp;sort=score&amp;from=0&amp;to=1682503620775" TargetMode="External"/><Relationship Id="rId73" Type="http://schemas.openxmlformats.org/officeDocument/2006/relationships/hyperlink" Target="https://mafr.fr/fr/article/quelques-reflexions-sur-la-compliance-et-la-cour-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fr.fr/fr/article/la-juridictionnalisation-de-la-compliance/" TargetMode="External"/><Relationship Id="rId13" Type="http://schemas.openxmlformats.org/officeDocument/2006/relationships/hyperlink" Target="https://www.cnb.avocat.fr/fr/actualites/un-guide-pour-accompagner-la-profession-en-matiere-denquetes-internes" TargetMode="External"/><Relationship Id="rId18" Type="http://schemas.openxmlformats.org/officeDocument/2006/relationships/hyperlink" Target="https://avocats-ace.fr/2022/10/19/revue-n157-dossier-special-compliance/" TargetMode="External"/><Relationship Id="rId39" Type="http://schemas.openxmlformats.org/officeDocument/2006/relationships/hyperlink" Target="https://www.dechert.com/knowledge/publication/2021/1/ediscovery-in-multi-jurisdictional-investigations--preparing-to-.html" TargetMode="External"/><Relationship Id="rId34" Type="http://schemas.openxmlformats.org/officeDocument/2006/relationships/hyperlink" Target="https://mafr.fr/fr/article/la-facon-dont-les-entreprises-du-secteur-bancaire-/" TargetMode="External"/><Relationship Id="rId50" Type="http://schemas.openxmlformats.org/officeDocument/2006/relationships/hyperlink" Target="http://mafr.fr/fr/article/entreprise-regulateur-juge-penser-la-compliance-pa/" TargetMode="External"/><Relationship Id="rId55" Type="http://schemas.openxmlformats.org/officeDocument/2006/relationships/hyperlink" Target="http://mafr.fr/fr/article/le-role-de-lavocat-en-matiere-de-compliance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afr.fr/fr/article/compliance-entreprise-regulateur-juge/" TargetMode="External"/><Relationship Id="rId71" Type="http://schemas.openxmlformats.org/officeDocument/2006/relationships/hyperlink" Target="https://mafr.fr/fr/article/la-difficile-apprehension-des-droits-de-la-def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3120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Matthieu Boissavy</cp:lastModifiedBy>
  <cp:revision>7</cp:revision>
  <cp:lastPrinted>2023-01-30T13:37:00Z</cp:lastPrinted>
  <dcterms:created xsi:type="dcterms:W3CDTF">2023-04-27T06:10:00Z</dcterms:created>
  <dcterms:modified xsi:type="dcterms:W3CDTF">2023-04-27T16:46:00Z</dcterms:modified>
</cp:coreProperties>
</file>